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shd w:val="clear"/>
        <w:spacing w:line="480" w:lineRule="exact"/>
        <w:ind w:right="-63" w:rightChars="-30"/>
        <w:jc w:val="center"/>
        <w:rPr>
          <w:rFonts w:hint="eastAsia" w:ascii="宋体" w:hAnsi="宋体" w:cs="宋体"/>
          <w:color w:val="auto"/>
          <w:highlight w:val="none"/>
        </w:rPr>
      </w:pPr>
      <w:bookmarkStart w:id="0" w:name="_Toc20971"/>
      <w:bookmarkStart w:id="1" w:name="_Toc14738"/>
      <w:r>
        <w:rPr>
          <w:rFonts w:hint="eastAsia" w:ascii="宋体" w:hAnsi="宋体" w:cs="宋体"/>
          <w:color w:val="auto"/>
          <w:highlight w:val="none"/>
        </w:rPr>
        <w:t>第四章 采购需求</w:t>
      </w:r>
      <w:bookmarkEnd w:id="0"/>
      <w:bookmarkEnd w:id="1"/>
    </w:p>
    <w:p>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ind w:leftChars="0"/>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一、</w:t>
      </w:r>
      <w:r>
        <w:rPr>
          <w:rFonts w:hint="eastAsia" w:ascii="宋体" w:hAnsi="宋体" w:eastAsia="宋体" w:cs="宋体"/>
          <w:b/>
          <w:color w:val="auto"/>
          <w:kern w:val="0"/>
          <w:sz w:val="21"/>
          <w:szCs w:val="21"/>
          <w:highlight w:val="none"/>
        </w:rPr>
        <w:t>相关说明</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color w:val="auto"/>
          <w:kern w:val="0"/>
          <w:sz w:val="21"/>
          <w:szCs w:val="21"/>
          <w:highlight w:val="none"/>
        </w:rPr>
      </w:pPr>
      <w:r>
        <w:rPr>
          <w:rFonts w:hint="eastAsia" w:ascii="宋体" w:hAnsi="宋体" w:eastAsia="宋体" w:cs="宋体"/>
          <w:bCs/>
          <w:color w:val="auto"/>
          <w:kern w:val="0"/>
          <w:sz w:val="21"/>
          <w:szCs w:val="21"/>
          <w:highlight w:val="none"/>
        </w:rPr>
        <w:t>招标文件中列出的质量技术参数或型号与某产品相同时仅作为投标人选择投标产品时在质量水平上的参考，不强制采购某一特定产品，投标人可提供符合采购需求或更优的产品及方案</w:t>
      </w:r>
      <w:r>
        <w:rPr>
          <w:rFonts w:hint="eastAsia" w:ascii="宋体" w:hAnsi="宋体" w:eastAsia="宋体" w:cs="宋体"/>
          <w:color w:val="auto"/>
          <w:kern w:val="0"/>
          <w:sz w:val="21"/>
          <w:szCs w:val="21"/>
          <w:highlight w:val="none"/>
        </w:rPr>
        <w:t>。</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ascii="宋体" w:hAnsi="宋体" w:eastAsia="宋体" w:cs="宋体"/>
          <w:bCs/>
          <w:color w:val="auto"/>
          <w:kern w:val="0"/>
          <w:sz w:val="21"/>
          <w:szCs w:val="21"/>
          <w:highlight w:val="none"/>
        </w:rPr>
      </w:pPr>
      <w:r>
        <w:rPr>
          <w:rFonts w:hint="eastAsia" w:ascii="宋体" w:hAnsi="宋体" w:eastAsia="宋体" w:cs="宋体"/>
          <w:bCs/>
          <w:color w:val="auto"/>
          <w:kern w:val="0"/>
          <w:sz w:val="21"/>
          <w:szCs w:val="21"/>
          <w:highlight w:val="none"/>
        </w:rPr>
        <w:t>本次采购内容如果要求的某些技术标准低于国家标准，均以最新的国家标准为准。招标技术要求中未明确的技术标准也均不得低于国家标准；</w:t>
      </w:r>
    </w:p>
    <w:p>
      <w:pPr>
        <w:keepNext w:val="0"/>
        <w:keepLines w:val="0"/>
        <w:pageBreakBefore w:val="0"/>
        <w:widowControl/>
        <w:numPr>
          <w:ilvl w:val="2"/>
          <w:numId w:val="1"/>
        </w:numPr>
        <w:shd w:val="clear"/>
        <w:kinsoku/>
        <w:wordWrap/>
        <w:overflowPunct/>
        <w:topLinePunct w:val="0"/>
        <w:autoSpaceDE/>
        <w:autoSpaceDN/>
        <w:bidi w:val="0"/>
        <w:adjustRightInd w:val="0"/>
        <w:snapToGrid/>
        <w:spacing w:line="360" w:lineRule="auto"/>
        <w:ind w:left="60" w:leftChars="0" w:firstLine="420" w:firstLineChars="0"/>
        <w:jc w:val="left"/>
        <w:textAlignment w:val="auto"/>
        <w:rPr>
          <w:rFonts w:hint="eastAsia"/>
          <w:color w:val="auto"/>
          <w:highlight w:val="none"/>
        </w:rPr>
      </w:pPr>
      <w:r>
        <w:rPr>
          <w:rFonts w:hint="eastAsia" w:ascii="宋体" w:hAnsi="宋体" w:eastAsia="宋体" w:cs="宋体"/>
          <w:bCs/>
          <w:color w:val="auto"/>
          <w:kern w:val="0"/>
          <w:sz w:val="21"/>
          <w:szCs w:val="21"/>
          <w:highlight w:val="none"/>
        </w:rPr>
        <w:t>本采购项目为交钥匙项目，验收合格前所需的一切费用均包含在报价之中，采购人不承担成交价格以外的任何费用。</w:t>
      </w:r>
    </w:p>
    <w:p>
      <w:pPr>
        <w:keepNext w:val="0"/>
        <w:keepLines w:val="0"/>
        <w:pageBreakBefore w:val="0"/>
        <w:widowControl/>
        <w:numPr>
          <w:ilvl w:val="0"/>
          <w:numId w:val="0"/>
        </w:numPr>
        <w:shd w:val="clear"/>
        <w:kinsoku/>
        <w:wordWrap/>
        <w:overflowPunct/>
        <w:topLinePunct w:val="0"/>
        <w:autoSpaceDE/>
        <w:autoSpaceDN/>
        <w:bidi w:val="0"/>
        <w:adjustRightInd w:val="0"/>
        <w:snapToGrid/>
        <w:spacing w:line="360" w:lineRule="auto"/>
        <w:jc w:val="left"/>
        <w:textAlignment w:val="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eastAsia="zh-CN"/>
        </w:rPr>
        <w:t>二、</w:t>
      </w:r>
      <w:r>
        <w:rPr>
          <w:rFonts w:hint="eastAsia" w:ascii="宋体" w:hAnsi="宋体" w:eastAsia="宋体" w:cs="宋体"/>
          <w:b/>
          <w:color w:val="auto"/>
          <w:kern w:val="0"/>
          <w:sz w:val="21"/>
          <w:szCs w:val="21"/>
          <w:highlight w:val="none"/>
        </w:rPr>
        <w:t xml:space="preserve">商务要求： </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1.</w:t>
      </w:r>
      <w:r>
        <w:rPr>
          <w:rFonts w:hint="eastAsia" w:ascii="宋体" w:hAnsi="宋体" w:eastAsia="宋体" w:cs="宋体"/>
          <w:color w:val="auto"/>
          <w:kern w:val="0"/>
          <w:sz w:val="21"/>
          <w:szCs w:val="21"/>
          <w:highlight w:val="none"/>
          <w:lang w:val="en-US" w:eastAsia="zh-CN" w:bidi="ar"/>
        </w:rPr>
        <w:t>合同履行期限</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sz w:val="21"/>
          <w:szCs w:val="21"/>
          <w:highlight w:val="none"/>
        </w:rPr>
        <w:t>合同签订</w:t>
      </w:r>
      <w:r>
        <w:rPr>
          <w:rFonts w:hint="eastAsia" w:ascii="宋体" w:hAnsi="宋体" w:eastAsia="宋体" w:cs="宋体"/>
          <w:color w:val="auto"/>
          <w:sz w:val="21"/>
          <w:szCs w:val="21"/>
          <w:highlight w:val="none"/>
          <w:lang w:val="en-US" w:eastAsia="zh-CN"/>
        </w:rPr>
        <w:t>之日起20日历天</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default"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eastAsia="zh-CN" w:bidi="ar"/>
        </w:rPr>
        <w:t>2.</w:t>
      </w:r>
      <w:r>
        <w:rPr>
          <w:rFonts w:hint="eastAsia" w:ascii="宋体" w:hAnsi="宋体"/>
          <w:color w:val="auto"/>
          <w:sz w:val="21"/>
          <w:szCs w:val="21"/>
          <w:highlight w:val="none"/>
        </w:rPr>
        <w:t>供货</w:t>
      </w:r>
      <w:r>
        <w:rPr>
          <w:rFonts w:hint="eastAsia" w:ascii="宋体" w:hAnsi="宋体" w:eastAsia="宋体"/>
          <w:color w:val="auto"/>
          <w:sz w:val="21"/>
          <w:szCs w:val="21"/>
          <w:highlight w:val="none"/>
          <w:lang w:eastAsia="zh-CN"/>
        </w:rPr>
        <w:t>、</w:t>
      </w:r>
      <w:r>
        <w:rPr>
          <w:rFonts w:hint="eastAsia" w:ascii="宋体" w:hAnsi="宋体" w:eastAsia="宋体"/>
          <w:color w:val="auto"/>
          <w:sz w:val="21"/>
          <w:szCs w:val="21"/>
          <w:highlight w:val="none"/>
          <w:lang w:val="en-US" w:eastAsia="zh-CN"/>
        </w:rPr>
        <w:t>安装</w:t>
      </w:r>
      <w:r>
        <w:rPr>
          <w:rFonts w:hint="eastAsia" w:ascii="宋体" w:hAnsi="宋体"/>
          <w:color w:val="auto"/>
          <w:sz w:val="21"/>
          <w:szCs w:val="21"/>
          <w:highlight w:val="none"/>
        </w:rPr>
        <w:t>（服务）地点</w:t>
      </w:r>
      <w:r>
        <w:rPr>
          <w:rFonts w:hint="eastAsia" w:ascii="宋体" w:hAnsi="宋体" w:eastAsia="宋体" w:cs="宋体"/>
          <w:color w:val="auto"/>
          <w:kern w:val="0"/>
          <w:sz w:val="21"/>
          <w:szCs w:val="21"/>
          <w:highlight w:val="none"/>
          <w:lang w:eastAsia="zh-CN" w:bidi="ar"/>
        </w:rPr>
        <w:t>：</w:t>
      </w:r>
      <w:r>
        <w:rPr>
          <w:rFonts w:hint="eastAsia" w:ascii="宋体" w:hAnsi="宋体" w:eastAsia="宋体" w:cs="宋体"/>
          <w:color w:val="auto"/>
          <w:kern w:val="0"/>
          <w:sz w:val="21"/>
          <w:szCs w:val="21"/>
          <w:highlight w:val="none"/>
          <w:lang w:val="en-US" w:eastAsia="zh-CN" w:bidi="ar"/>
        </w:rPr>
        <w:t>武陟县区域内。</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3.质量标准：符合国家现行及行业标准。</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4.质量保证期：</w:t>
      </w:r>
      <w:r>
        <w:rPr>
          <w:rFonts w:hint="eastAsia" w:ascii="宋体" w:hAnsi="宋体" w:eastAsia="宋体" w:cs="宋体"/>
          <w:color w:val="auto"/>
          <w:kern w:val="0"/>
          <w:sz w:val="21"/>
          <w:szCs w:val="21"/>
          <w:highlight w:val="none"/>
          <w:lang w:val="en-US" w:eastAsia="zh-CN" w:bidi="ar"/>
        </w:rPr>
        <w:t>三年</w:t>
      </w:r>
      <w:r>
        <w:rPr>
          <w:rFonts w:hint="eastAsia" w:ascii="宋体" w:hAnsi="宋体" w:eastAsia="宋体" w:cs="宋体"/>
          <w:color w:val="auto"/>
          <w:kern w:val="0"/>
          <w:sz w:val="21"/>
          <w:szCs w:val="21"/>
          <w:highlight w:val="none"/>
          <w:lang w:eastAsia="zh-CN" w:bidi="ar"/>
        </w:rPr>
        <w:t>。</w:t>
      </w:r>
    </w:p>
    <w:p>
      <w:pPr>
        <w:keepNext w:val="0"/>
        <w:keepLines w:val="0"/>
        <w:pageBreakBefore w:val="0"/>
        <w:widowControl/>
        <w:shd w:val="clear"/>
        <w:kinsoku/>
        <w:wordWrap/>
        <w:overflowPunct/>
        <w:topLinePunct w:val="0"/>
        <w:autoSpaceDE/>
        <w:autoSpaceDN/>
        <w:bidi w:val="0"/>
        <w:snapToGrid/>
        <w:spacing w:line="360" w:lineRule="auto"/>
        <w:ind w:firstLine="420" w:firstLineChars="200"/>
        <w:textAlignment w:val="auto"/>
        <w:rPr>
          <w:rFonts w:hint="eastAsia" w:ascii="宋体" w:hAnsi="宋体" w:eastAsia="宋体" w:cs="宋体"/>
          <w:color w:val="auto"/>
          <w:kern w:val="0"/>
          <w:sz w:val="21"/>
          <w:szCs w:val="21"/>
          <w:highlight w:val="none"/>
          <w:lang w:val="en-US" w:eastAsia="zh-CN" w:bidi="ar"/>
        </w:rPr>
      </w:pPr>
      <w:r>
        <w:rPr>
          <w:rFonts w:hint="eastAsia" w:ascii="宋体" w:hAnsi="宋体" w:eastAsia="宋体" w:cs="宋体"/>
          <w:color w:val="auto"/>
          <w:kern w:val="0"/>
          <w:sz w:val="21"/>
          <w:szCs w:val="21"/>
          <w:highlight w:val="none"/>
          <w:lang w:eastAsia="zh-CN" w:bidi="ar"/>
        </w:rPr>
        <w:t>5.付款方式：</w:t>
      </w:r>
      <w:r>
        <w:rPr>
          <w:rFonts w:hint="eastAsia" w:ascii="宋体" w:hAnsi="宋体" w:eastAsia="宋体" w:cs="宋体"/>
          <w:color w:val="auto"/>
          <w:kern w:val="0"/>
          <w:sz w:val="21"/>
          <w:szCs w:val="21"/>
          <w:highlight w:val="none"/>
          <w:lang w:val="en-US" w:eastAsia="zh-CN" w:bidi="ar"/>
        </w:rPr>
        <w:t>全部供货、安装完毕，经第三方验收（验收所需费用由中标人承担）合格后付合同款95%，剩余5%一年后一次性付清。</w:t>
      </w:r>
    </w:p>
    <w:p>
      <w:pPr>
        <w:widowControl/>
        <w:shd w:val="clear"/>
        <w:spacing w:line="360" w:lineRule="auto"/>
        <w:ind w:firstLine="420" w:firstLineChars="200"/>
        <w:rPr>
          <w:rFonts w:hint="default" w:ascii="宋体" w:hAnsi="宋体"/>
          <w:color w:val="auto"/>
          <w:kern w:val="0"/>
          <w:sz w:val="21"/>
          <w:szCs w:val="21"/>
          <w:highlight w:val="none"/>
          <w:lang w:val="en-US" w:eastAsia="zh-CN" w:bidi="ar"/>
        </w:rPr>
      </w:pPr>
      <w:r>
        <w:rPr>
          <w:rFonts w:hint="eastAsia" w:ascii="宋体" w:hAnsi="宋体"/>
          <w:color w:val="auto"/>
          <w:kern w:val="0"/>
          <w:sz w:val="21"/>
          <w:szCs w:val="21"/>
          <w:highlight w:val="none"/>
          <w:lang w:val="en-US" w:eastAsia="zh-CN" w:bidi="ar"/>
        </w:rPr>
        <w:t>6.商品包装要求：</w:t>
      </w:r>
    </w:p>
    <w:p>
      <w:pPr>
        <w:widowControl/>
        <w:shd w:val="clear"/>
        <w:spacing w:line="360" w:lineRule="auto"/>
        <w:ind w:firstLine="420" w:firstLineChars="200"/>
        <w:rPr>
          <w:rFonts w:hint="eastAsia" w:ascii="宋体" w:hAnsi="宋体"/>
          <w:color w:val="auto"/>
          <w:kern w:val="0"/>
          <w:sz w:val="21"/>
          <w:szCs w:val="21"/>
          <w:highlight w:val="none"/>
          <w:lang w:val="en-US" w:eastAsia="zh-CN" w:bidi="ar"/>
        </w:rPr>
      </w:pPr>
      <w:r>
        <w:rPr>
          <w:rFonts w:hint="eastAsia" w:ascii="宋体" w:hAnsi="宋体"/>
          <w:color w:val="auto"/>
          <w:kern w:val="0"/>
          <w:sz w:val="21"/>
          <w:szCs w:val="21"/>
          <w:highlight w:val="none"/>
          <w:lang w:val="en-US" w:eastAsia="zh-CN" w:bidi="ar"/>
        </w:rPr>
        <w:t xml:space="preserve">6.1适用范围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本标准规定了商品使用的塑料、纸质、木质等包装材料的环保要求。 </w:t>
      </w:r>
    </w:p>
    <w:p>
      <w:pPr>
        <w:widowControl/>
        <w:shd w:val="clear"/>
        <w:spacing w:line="360" w:lineRule="auto"/>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    </w:t>
      </w:r>
      <w:r>
        <w:rPr>
          <w:rFonts w:hint="eastAsia" w:ascii="宋体" w:hAnsi="宋体"/>
          <w:color w:val="auto"/>
          <w:kern w:val="0"/>
          <w:sz w:val="21"/>
          <w:szCs w:val="21"/>
          <w:highlight w:val="none"/>
          <w:lang w:val="en-US" w:eastAsia="zh-CN" w:bidi="ar"/>
        </w:rPr>
        <w:t>6</w:t>
      </w:r>
      <w:r>
        <w:rPr>
          <w:rFonts w:hint="eastAsia" w:ascii="宋体" w:hAnsi="宋体"/>
          <w:color w:val="auto"/>
          <w:kern w:val="0"/>
          <w:sz w:val="21"/>
          <w:szCs w:val="21"/>
          <w:highlight w:val="none"/>
          <w:lang w:bidi="ar"/>
        </w:rPr>
        <w:t xml:space="preserve">.2商品包装环保要求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（1）商品包装层数不得超过 3 层，空隙率不大于 40%；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（2）商品包装尽可能使用单一材质的包装材料，如因功能需求必需使用不同材质，不同材质间应便于分离；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（3）商品包装中铅、汞、镉、六价铬的总含量应不大于100mg/kg；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（4）商品包装印刷使用的油墨中挥发性有机化合物(VOCs)含量应不大于 5%（以重量计）；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（5）塑料材质商品包装上呈现的印刷颜色不得超过6色； </w:t>
      </w:r>
    </w:p>
    <w:p>
      <w:pPr>
        <w:widowControl/>
        <w:shd w:val="clear"/>
        <w:spacing w:line="360" w:lineRule="auto"/>
        <w:ind w:firstLine="420" w:firstLineChars="200"/>
        <w:rPr>
          <w:rFonts w:hint="eastAsia" w:ascii="宋体" w:hAnsi="宋体"/>
          <w:color w:val="auto"/>
          <w:sz w:val="21"/>
          <w:szCs w:val="21"/>
          <w:highlight w:val="none"/>
        </w:rPr>
      </w:pPr>
      <w:r>
        <w:rPr>
          <w:rFonts w:hint="eastAsia" w:ascii="宋体" w:hAnsi="宋体"/>
          <w:color w:val="auto"/>
          <w:kern w:val="0"/>
          <w:sz w:val="21"/>
          <w:szCs w:val="21"/>
          <w:highlight w:val="none"/>
          <w:lang w:bidi="ar"/>
        </w:rPr>
        <w:t xml:space="preserve">（6）纸质商品包装应使用75%以上的可再生纤维原料生产； </w:t>
      </w:r>
    </w:p>
    <w:p>
      <w:pPr>
        <w:widowControl/>
        <w:shd w:val="clear"/>
        <w:spacing w:line="360" w:lineRule="auto"/>
        <w:ind w:firstLine="420" w:firstLineChars="200"/>
        <w:rPr>
          <w:rFonts w:hint="eastAsia" w:ascii="宋体" w:hAnsi="宋体" w:eastAsia="宋体"/>
          <w:color w:val="auto"/>
          <w:kern w:val="0"/>
          <w:sz w:val="21"/>
          <w:szCs w:val="21"/>
          <w:highlight w:val="none"/>
          <w:lang w:bidi="ar"/>
        </w:rPr>
      </w:pPr>
      <w:r>
        <w:rPr>
          <w:rFonts w:hint="eastAsia" w:ascii="宋体" w:hAnsi="宋体" w:eastAsia="宋体"/>
          <w:color w:val="auto"/>
          <w:kern w:val="0"/>
          <w:sz w:val="21"/>
          <w:szCs w:val="21"/>
          <w:highlight w:val="none"/>
          <w:lang w:bidi="ar"/>
        </w:rPr>
        <w:t>（7）木质商品包装的原料应来源于可持续性森林。</w:t>
      </w:r>
    </w:p>
    <w:p>
      <w:pPr>
        <w:widowControl/>
        <w:shd w:val="clear"/>
        <w:adjustRightInd w:val="0"/>
        <w:spacing w:line="360" w:lineRule="auto"/>
        <w:rPr>
          <w:rFonts w:hint="eastAsia" w:ascii="宋体" w:hAnsi="宋体"/>
          <w:b/>
          <w:color w:val="auto"/>
          <w:kern w:val="0"/>
          <w:sz w:val="21"/>
          <w:szCs w:val="21"/>
          <w:highlight w:val="none"/>
        </w:rPr>
      </w:pPr>
      <w:r>
        <w:rPr>
          <w:rFonts w:hint="eastAsia" w:ascii="宋体" w:hAnsi="宋体"/>
          <w:b/>
          <w:color w:val="auto"/>
          <w:kern w:val="0"/>
          <w:sz w:val="21"/>
          <w:szCs w:val="21"/>
          <w:highlight w:val="none"/>
        </w:rPr>
        <w:t>三、其他要求：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eastAsia="zh-CN" w:bidi="ar"/>
        </w:rPr>
        <w:t>售后服务要求：</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1.</w:t>
      </w:r>
      <w:r>
        <w:rPr>
          <w:rFonts w:hint="eastAsia" w:ascii="宋体" w:hAnsi="宋体" w:eastAsia="宋体" w:cs="宋体"/>
          <w:color w:val="auto"/>
          <w:kern w:val="0"/>
          <w:sz w:val="21"/>
          <w:szCs w:val="21"/>
          <w:highlight w:val="none"/>
          <w:lang w:eastAsia="zh-CN" w:bidi="ar"/>
        </w:rPr>
        <w:t>故障响应时间：7×24×365全年实施故障响应，接到故障通知后2小时内响应，24小时内到达现场维修并解决问题。</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2.</w:t>
      </w:r>
      <w:r>
        <w:rPr>
          <w:rFonts w:hint="eastAsia" w:ascii="宋体" w:hAnsi="宋体" w:eastAsia="宋体" w:cs="宋体"/>
          <w:color w:val="auto"/>
          <w:kern w:val="0"/>
          <w:sz w:val="21"/>
          <w:szCs w:val="21"/>
          <w:highlight w:val="none"/>
          <w:lang w:eastAsia="zh-CN" w:bidi="ar"/>
        </w:rPr>
        <w:t>产品质量保证期从产品验收合格之日起计算，易损件及消耗品不在质保范围内。在质保期内，维修、保养、配件供应(消耗品除外)免费。</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3.供应商</w:t>
      </w:r>
      <w:r>
        <w:rPr>
          <w:rFonts w:hint="eastAsia" w:ascii="宋体" w:hAnsi="宋体" w:eastAsia="宋体" w:cs="宋体"/>
          <w:color w:val="auto"/>
          <w:kern w:val="0"/>
          <w:sz w:val="21"/>
          <w:szCs w:val="21"/>
          <w:highlight w:val="none"/>
          <w:lang w:eastAsia="zh-CN" w:bidi="ar"/>
        </w:rPr>
        <w:t>对设备进行终身维修，只收取人工和零部件成本费。施工期内如有设备故障，</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在接到</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 xml:space="preserve">通知后2天内派人至现场维修(本市范围内24小时到达)。 </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4.</w:t>
      </w:r>
      <w:r>
        <w:rPr>
          <w:rFonts w:hint="eastAsia" w:ascii="宋体" w:hAnsi="宋体" w:eastAsia="宋体" w:cs="宋体"/>
          <w:color w:val="auto"/>
          <w:kern w:val="0"/>
          <w:sz w:val="21"/>
          <w:szCs w:val="21"/>
          <w:highlight w:val="none"/>
          <w:lang w:eastAsia="zh-CN" w:bidi="ar"/>
        </w:rPr>
        <w:t>如货物经</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两次维修仍不能达到约定的质量标准，视作</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未能按时交货，</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有权退货并追究</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的违约责任。</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5.</w:t>
      </w:r>
      <w:r>
        <w:rPr>
          <w:rFonts w:hint="eastAsia" w:ascii="宋体" w:hAnsi="宋体" w:eastAsia="宋体" w:cs="宋体"/>
          <w:color w:val="auto"/>
          <w:kern w:val="0"/>
          <w:sz w:val="21"/>
          <w:szCs w:val="21"/>
          <w:highlight w:val="none"/>
          <w:lang w:eastAsia="zh-CN" w:bidi="ar"/>
        </w:rPr>
        <w:t>在</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未完全掌握设备使用技术前，</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须指派专人负责与</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联系售后服务事宜。</w:t>
      </w:r>
    </w:p>
    <w:p>
      <w:pPr>
        <w:widowControl/>
        <w:shd w:val="clear"/>
        <w:tabs>
          <w:tab w:val="left" w:pos="613"/>
        </w:tabs>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6.乙</w:t>
      </w:r>
      <w:r>
        <w:rPr>
          <w:rFonts w:hint="eastAsia" w:ascii="宋体" w:hAnsi="宋体" w:eastAsia="宋体" w:cs="宋体"/>
          <w:color w:val="auto"/>
          <w:kern w:val="0"/>
          <w:sz w:val="21"/>
          <w:szCs w:val="21"/>
          <w:highlight w:val="none"/>
          <w:lang w:eastAsia="zh-CN" w:bidi="ar"/>
        </w:rPr>
        <w:t>方负责设备的安全施工管理。</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7.</w:t>
      </w:r>
      <w:r>
        <w:rPr>
          <w:rFonts w:hint="eastAsia" w:ascii="宋体" w:hAnsi="宋体" w:eastAsia="宋体" w:cs="宋体"/>
          <w:color w:val="auto"/>
          <w:kern w:val="0"/>
          <w:sz w:val="21"/>
          <w:szCs w:val="21"/>
          <w:highlight w:val="none"/>
          <w:lang w:eastAsia="zh-CN" w:bidi="ar"/>
        </w:rPr>
        <w:t>质保期外的售后服务按招标文件和</w:t>
      </w:r>
      <w:r>
        <w:rPr>
          <w:rFonts w:hint="eastAsia" w:ascii="宋体" w:hAnsi="宋体" w:eastAsia="宋体" w:cs="宋体"/>
          <w:color w:val="auto"/>
          <w:kern w:val="0"/>
          <w:sz w:val="21"/>
          <w:szCs w:val="21"/>
          <w:highlight w:val="none"/>
          <w:lang w:val="en-US" w:eastAsia="zh-CN" w:bidi="ar"/>
        </w:rPr>
        <w:t>供应商的</w:t>
      </w:r>
      <w:r>
        <w:rPr>
          <w:rFonts w:hint="eastAsia" w:ascii="宋体" w:hAnsi="宋体" w:eastAsia="宋体" w:cs="宋体"/>
          <w:color w:val="auto"/>
          <w:kern w:val="0"/>
          <w:sz w:val="21"/>
          <w:szCs w:val="21"/>
          <w:highlight w:val="none"/>
          <w:lang w:eastAsia="zh-CN" w:bidi="ar"/>
        </w:rPr>
        <w:t>投标文件执行，如招标文件没有规定，可由双方另行约定。</w:t>
      </w:r>
    </w:p>
    <w:p>
      <w:pPr>
        <w:widowControl/>
        <w:shd w:val="clear"/>
        <w:spacing w:line="360" w:lineRule="auto"/>
        <w:ind w:firstLine="420" w:firstLineChars="200"/>
        <w:rPr>
          <w:rFonts w:hint="eastAsia" w:ascii="宋体" w:hAnsi="宋体" w:eastAsia="宋体" w:cs="宋体"/>
          <w:color w:val="auto"/>
          <w:kern w:val="0"/>
          <w:sz w:val="21"/>
          <w:szCs w:val="21"/>
          <w:highlight w:val="none"/>
          <w:lang w:eastAsia="zh-CN" w:bidi="ar"/>
        </w:rPr>
      </w:pPr>
      <w:r>
        <w:rPr>
          <w:rFonts w:hint="eastAsia" w:ascii="宋体" w:hAnsi="宋体" w:eastAsia="宋体" w:cs="宋体"/>
          <w:color w:val="auto"/>
          <w:kern w:val="0"/>
          <w:sz w:val="21"/>
          <w:szCs w:val="21"/>
          <w:highlight w:val="none"/>
          <w:lang w:val="en-US" w:eastAsia="zh-CN" w:bidi="ar"/>
        </w:rPr>
        <w:t>8.</w:t>
      </w:r>
      <w:r>
        <w:rPr>
          <w:rFonts w:hint="eastAsia" w:ascii="宋体" w:hAnsi="宋体" w:eastAsia="宋体" w:cs="宋体"/>
          <w:color w:val="auto"/>
          <w:kern w:val="0"/>
          <w:sz w:val="21"/>
          <w:szCs w:val="21"/>
          <w:highlight w:val="none"/>
          <w:lang w:eastAsia="zh-CN" w:bidi="ar"/>
        </w:rPr>
        <w:t>培训要求：</w:t>
      </w:r>
      <w:r>
        <w:rPr>
          <w:rFonts w:hint="eastAsia" w:ascii="宋体" w:hAnsi="宋体" w:eastAsia="宋体" w:cs="宋体"/>
          <w:color w:val="auto"/>
          <w:kern w:val="0"/>
          <w:sz w:val="21"/>
          <w:szCs w:val="21"/>
          <w:highlight w:val="none"/>
          <w:lang w:val="en-US" w:eastAsia="zh-CN" w:bidi="ar"/>
        </w:rPr>
        <w:t>供应商</w:t>
      </w:r>
      <w:r>
        <w:rPr>
          <w:rFonts w:hint="eastAsia" w:ascii="宋体" w:hAnsi="宋体" w:eastAsia="宋体" w:cs="宋体"/>
          <w:color w:val="auto"/>
          <w:kern w:val="0"/>
          <w:sz w:val="21"/>
          <w:szCs w:val="21"/>
          <w:highlight w:val="none"/>
          <w:lang w:eastAsia="zh-CN" w:bidi="ar"/>
        </w:rPr>
        <w:t>负责对</w:t>
      </w:r>
      <w:r>
        <w:rPr>
          <w:rFonts w:hint="eastAsia" w:ascii="宋体" w:hAnsi="宋体" w:eastAsia="宋体" w:cs="宋体"/>
          <w:color w:val="auto"/>
          <w:kern w:val="0"/>
          <w:sz w:val="21"/>
          <w:szCs w:val="21"/>
          <w:highlight w:val="none"/>
          <w:lang w:val="en-US" w:eastAsia="zh-CN" w:bidi="ar"/>
        </w:rPr>
        <w:t>采购人</w:t>
      </w:r>
      <w:r>
        <w:rPr>
          <w:rFonts w:hint="eastAsia" w:ascii="宋体" w:hAnsi="宋体" w:eastAsia="宋体" w:cs="宋体"/>
          <w:color w:val="auto"/>
          <w:kern w:val="0"/>
          <w:sz w:val="21"/>
          <w:szCs w:val="21"/>
          <w:highlight w:val="none"/>
          <w:lang w:eastAsia="zh-CN" w:bidi="ar"/>
        </w:rPr>
        <w:t>操作、维修人员和有关技术人员进行培训，使之完全掌握全部使用技术。</w:t>
      </w:r>
    </w:p>
    <w:p>
      <w:pPr>
        <w:keepNext w:val="0"/>
        <w:keepLines w:val="0"/>
        <w:pageBreakBefore w:val="0"/>
        <w:widowControl/>
        <w:shd w:val="clear"/>
        <w:kinsoku/>
        <w:wordWrap/>
        <w:overflowPunct/>
        <w:topLinePunct w:val="0"/>
        <w:autoSpaceDE/>
        <w:autoSpaceDN/>
        <w:bidi w:val="0"/>
        <w:adjustRightInd w:val="0"/>
        <w:snapToGrid/>
        <w:spacing w:line="360" w:lineRule="auto"/>
        <w:textAlignment w:val="auto"/>
        <w:rPr>
          <w:rFonts w:hint="eastAsia" w:ascii="宋体" w:hAnsi="宋体" w:eastAsia="宋体" w:cs="宋体"/>
          <w:b/>
          <w:color w:val="auto"/>
          <w:kern w:val="0"/>
          <w:sz w:val="21"/>
          <w:szCs w:val="21"/>
          <w:highlight w:val="none"/>
          <w:lang w:eastAsia="zh-CN"/>
        </w:rPr>
      </w:pPr>
      <w:r>
        <w:rPr>
          <w:rFonts w:hint="eastAsia" w:ascii="宋体" w:hAnsi="宋体" w:eastAsia="宋体" w:cs="宋体"/>
          <w:b/>
          <w:color w:val="auto"/>
          <w:kern w:val="0"/>
          <w:sz w:val="21"/>
          <w:szCs w:val="21"/>
          <w:highlight w:val="none"/>
          <w:lang w:val="en-US" w:eastAsia="zh-CN"/>
        </w:rPr>
        <w:t>四</w:t>
      </w:r>
      <w:r>
        <w:rPr>
          <w:rFonts w:hint="eastAsia" w:ascii="宋体" w:hAnsi="宋体" w:eastAsia="宋体" w:cs="宋体"/>
          <w:b/>
          <w:color w:val="auto"/>
          <w:kern w:val="0"/>
          <w:sz w:val="21"/>
          <w:szCs w:val="21"/>
          <w:highlight w:val="none"/>
        </w:rPr>
        <w:t>、采购内容</w:t>
      </w:r>
      <w:r>
        <w:rPr>
          <w:rFonts w:hint="eastAsia" w:ascii="宋体" w:hAnsi="宋体" w:eastAsia="宋体" w:cs="宋体"/>
          <w:b/>
          <w:color w:val="auto"/>
          <w:kern w:val="0"/>
          <w:sz w:val="21"/>
          <w:szCs w:val="21"/>
          <w:highlight w:val="none"/>
          <w:lang w:eastAsia="zh-CN"/>
        </w:rPr>
        <w:t>及技术要求</w:t>
      </w:r>
    </w:p>
    <w:p>
      <w:pPr>
        <w:shd w:val="clear"/>
        <w:spacing w:line="360" w:lineRule="auto"/>
        <w:ind w:firstLine="480" w:firstLineChars="200"/>
        <w:jc w:val="left"/>
        <w:rPr>
          <w:rFonts w:hint="eastAsia" w:ascii="宋体" w:hAnsi="宋体" w:eastAsia="宋体" w:cs="宋体"/>
          <w:b/>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本项目的核心产品为 </w:t>
      </w:r>
      <w:r>
        <w:rPr>
          <w:rFonts w:hint="eastAsia" w:ascii="宋体" w:hAnsi="宋体" w:eastAsia="宋体"/>
          <w:b/>
          <w:bCs/>
          <w:color w:val="auto"/>
          <w:sz w:val="21"/>
          <w:szCs w:val="21"/>
          <w:highlight w:val="none"/>
          <w:u w:val="single"/>
          <w:lang w:val="en-US" w:eastAsia="zh-CN"/>
        </w:rPr>
        <w:t>心理测评档案管理系统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（核心产品仅适用于本项目同一品牌的认定，同一品牌的认定详见投标人须知）</w:t>
      </w:r>
    </w:p>
    <w:tbl>
      <w:tblPr>
        <w:tblStyle w:val="6"/>
        <w:tblW w:w="93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392"/>
        <w:gridCol w:w="1198"/>
        <w:gridCol w:w="6510"/>
        <w:gridCol w:w="373"/>
        <w:gridCol w:w="377"/>
        <w:gridCol w:w="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300"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kern w:val="0"/>
                <w:sz w:val="21"/>
                <w:szCs w:val="21"/>
                <w:highlight w:val="none"/>
                <w:u w:val="none"/>
                <w:lang w:val="en-US" w:eastAsia="zh-CN" w:bidi="ar"/>
              </w:rPr>
            </w:pPr>
            <w:r>
              <w:rPr>
                <w:rFonts w:hint="eastAsia" w:ascii="宋体" w:hAnsi="宋体" w:eastAsia="宋体" w:cs="宋体"/>
                <w:b/>
                <w:i w:val="0"/>
                <w:color w:val="auto"/>
                <w:kern w:val="0"/>
                <w:sz w:val="21"/>
                <w:szCs w:val="21"/>
                <w:highlight w:val="none"/>
                <w:u w:val="none"/>
                <w:lang w:val="en-US" w:eastAsia="zh-CN" w:bidi="ar"/>
              </w:rPr>
              <w:t>心理测评接待室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88" w:hRule="atLeast"/>
          <w:jc w:val="center"/>
        </w:trPr>
        <w:tc>
          <w:tcPr>
            <w:tcW w:w="392"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b/>
                <w:i w:val="0"/>
                <w:color w:val="auto"/>
                <w:kern w:val="0"/>
                <w:sz w:val="18"/>
                <w:szCs w:val="18"/>
                <w:highlight w:val="none"/>
                <w:u w:val="none"/>
                <w:lang w:val="en-US" w:eastAsia="zh-CN" w:bidi="ar-SA"/>
              </w:rPr>
              <w:t>序号</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b/>
                <w:i w:val="0"/>
                <w:color w:val="auto"/>
                <w:kern w:val="0"/>
                <w:sz w:val="18"/>
                <w:szCs w:val="18"/>
                <w:highlight w:val="none"/>
                <w:u w:val="none"/>
                <w:lang w:val="en-US" w:eastAsia="zh-CN" w:bidi="ar-SA"/>
              </w:rPr>
              <w:t>标的名称</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b/>
                <w:i w:val="0"/>
                <w:color w:val="auto"/>
                <w:kern w:val="0"/>
                <w:sz w:val="18"/>
                <w:szCs w:val="18"/>
                <w:highlight w:val="none"/>
                <w:u w:val="none"/>
                <w:lang w:val="en-US" w:eastAsia="zh-CN" w:bidi="ar-SA"/>
              </w:rPr>
              <w:t>主要技术参数、性能、配置等要求</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bCs/>
                <w:i w:val="0"/>
                <w:color w:val="auto"/>
                <w:sz w:val="18"/>
                <w:szCs w:val="18"/>
                <w:highlight w:val="none"/>
                <w:u w:val="none"/>
              </w:rPr>
            </w:pPr>
            <w:r>
              <w:rPr>
                <w:rFonts w:hint="eastAsia" w:ascii="宋体" w:hAnsi="宋体" w:eastAsia="宋体" w:cs="宋体"/>
                <w:b/>
                <w:bCs/>
                <w:i w:val="0"/>
                <w:color w:val="auto"/>
                <w:kern w:val="0"/>
                <w:sz w:val="18"/>
                <w:szCs w:val="18"/>
                <w:highlight w:val="none"/>
                <w:u w:val="none"/>
                <w:lang w:val="en-US" w:eastAsia="zh-CN" w:bidi="ar-SA"/>
              </w:rPr>
              <w:t>单位</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bCs/>
                <w:i w:val="0"/>
                <w:color w:val="auto"/>
                <w:sz w:val="18"/>
                <w:szCs w:val="18"/>
                <w:highlight w:val="none"/>
                <w:u w:val="none"/>
              </w:rPr>
            </w:pPr>
            <w:r>
              <w:rPr>
                <w:rFonts w:hint="eastAsia" w:ascii="宋体" w:hAnsi="宋体" w:eastAsia="宋体" w:cs="宋体"/>
                <w:b/>
                <w:bCs/>
                <w:i w:val="0"/>
                <w:color w:val="auto"/>
                <w:kern w:val="0"/>
                <w:sz w:val="18"/>
                <w:szCs w:val="18"/>
                <w:highlight w:val="none"/>
                <w:u w:val="none"/>
                <w:lang w:val="en-US" w:eastAsia="zh-CN" w:bidi="ar-SA"/>
              </w:rPr>
              <w:t>数量</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b/>
                <w:bCs/>
                <w:i w:val="0"/>
                <w:color w:val="auto"/>
                <w:kern w:val="0"/>
                <w:sz w:val="18"/>
                <w:szCs w:val="18"/>
                <w:highlight w:val="none"/>
                <w:u w:val="none"/>
                <w:lang w:val="en-US" w:eastAsia="zh-CN" w:bidi="ar-SA"/>
              </w:rPr>
            </w:pPr>
            <w:r>
              <w:rPr>
                <w:rFonts w:hint="eastAsia" w:ascii="宋体" w:hAnsi="宋体" w:eastAsia="宋体" w:cs="宋体"/>
                <w:b/>
                <w:bCs/>
                <w:i w:val="0"/>
                <w:color w:val="auto"/>
                <w:kern w:val="0"/>
                <w:sz w:val="18"/>
                <w:szCs w:val="18"/>
                <w:highlight w:val="none"/>
                <w:u w:val="none"/>
                <w:lang w:val="en-US" w:eastAsia="zh-CN" w:bidi="ar-SA"/>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300" w:type="dxa"/>
            <w:gridSpan w:val="6"/>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r>
              <w:rPr>
                <w:rFonts w:hint="eastAsia" w:ascii="宋体" w:hAnsi="宋体" w:eastAsia="宋体" w:cs="宋体"/>
                <w:b/>
                <w:i w:val="0"/>
                <w:color w:val="auto"/>
                <w:kern w:val="0"/>
                <w:sz w:val="20"/>
                <w:szCs w:val="20"/>
                <w:highlight w:val="none"/>
                <w:u w:val="none"/>
                <w:lang w:val="en-US" w:eastAsia="zh-CN" w:bidi="ar-SA"/>
              </w:rPr>
              <w:t>心理测评接待室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90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1</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心理测评档案管理系统</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系统简介：该系统主要包含对测评者的心理健康状况、学习方法、社会关系、焦虑、情绪智力、性格特征等进行综合测评分析，坚持以专业性、科学性、严谨性原则，注重量表的信度、效度，建立科学严谨的标准常模数据。为心理辅导提供科学性参考，帮助来访者了解心理问题的表现及其原因，进而有针对性地给予正确的心理辅导和教育。</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系统特点：本系统本着将复杂的东西简单化、快捷、有效、实用的设计理念，特设计以下特点：</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1) 服务器端快速安装，无需任何数据库和服务器配置即可使用，三网合一，系统可适用于单机、局域网、互联网多个环境。</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2) 客户端无需安装，只需要保证能连接到服务器, 以浏览器为操作界面，输入服务端IP地址即可。</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3)操作简便，根据说明书和模块需求填写对应基本信息，登陆账号即可使用。</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4 )功能模块分类管理，清晰明了，操作简便。</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5)适用于多种硬件平台：系统可在PC、平板、一体机等多种硬件平台上使用。</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功能模块：包含功能模块：管理平台（数据总览、系统管理、基础项目、档案管理、数据分析、咨询管理）。</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个人中心（测评档案、个人中心、咨询记录）；包含心理健康、情绪、学习、人格、智力、社交、生活、职业测评等多类型的量表；包括认知量表类、人格量表类、心理健康量表类、社会化量表类、学业量表类、智力能力类、生活应激类。</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数据总览：数据总览可查看总用户人数、机构数、测评报告数、用户信息、预警人数、非预警人数、测评档案数量、问卷档案数量、人员档案数量、测评次数（近30天内）、咨询师人数、方便管理员进行查阅统计相关数据。</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技术参数：</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1、机构管理：可添加/删除多个机构名称；可修改名称、机构结构关系设置及内容录入；</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2、角色管理：可添加/删除多个角色名称；可修改角色名称、设置角色机构类别、角色基本信息及添加备注等；</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3、权限管理：可通过绑定角色名称的方式为该角色进行角色权限分配；</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4、添加人员：可添加人员且填充基本信息，分配角色类型，确认人员机构；</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5、数据导入：导入用户模板下载（EXCEL文件），批量导入用户信息；</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6、人员审核：管理员可通过基本信息的删选进行人员状态审核，可查看人员审核结果；</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7、量表绑定：可进行用户绑定或角色绑定的形式，可通过基本信息的查询查看该人员的基本信息及绑定的量表名称；</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9、测评档案：可查看管理员与用户的基本信息，以及量量表名称，测试日期，编号，姓名，性别，年龄，等相关信息，还可直接输入编号，姓名，进行快捷查询；</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10、人员档案：可通过基本信息的检索查询软件内所有人员档案信息；</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11、数据分析：对于异常心理用户可以筛查出有问题人员，辅导人员可以根据指导意见做相应的指导；结合分析异常用户进行综合分析，做到尽早发现尽早辅导。</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12、咨询管理：可查看搜索咨询师相关信息，提供预约咨询功能。用户可以通过系统提交自己的咨询问题，保证咨询的隐私安全；</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13、测评报告自动生成：测验完成后，系统自动生成报告，报告以图文并茂的形式，丰富多样。报告内容包括图形、各项因子得分、结果分析语、指导建议等，结果输出可以采取word或者Excel的格式；</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14、硬件加密功能：系统安装和使用都必须使用软件的唯一加密设备，最大程度的保证用户数据的安全性。</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15、两天线上心理测评培训课程，包括心理测评概述、心理测评的基本原理（信度和效度、项目分析、常模、心理测评的应用、编制心理测验、看待心理测验、使用心理测验、常见心理测评工具的测评使用及解读。以及测评结束之后，如何结合测评的结果进行实际问题的区分，从哪些角度进行实际问题的确定等内容容。（具体开课时间由厂家统一通知安排）。</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450" w:type="dxa"/>
            <w:vMerge w:val="restart"/>
            <w:tcBorders>
              <w:top w:val="single" w:color="000000" w:sz="4" w:space="0"/>
              <w:left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kern w:val="0"/>
                <w:sz w:val="18"/>
                <w:szCs w:val="18"/>
                <w:highlight w:val="none"/>
                <w:u w:val="none"/>
                <w:lang w:val="en-US" w:eastAsia="zh-CN" w:bidi="ar-SA"/>
              </w:rPr>
            </w:pPr>
            <w:r>
              <w:rPr>
                <w:rFonts w:hint="eastAsia" w:ascii="宋体" w:hAnsi="宋体" w:eastAsia="宋体" w:cs="宋体"/>
                <w:i w:val="0"/>
                <w:color w:val="auto"/>
                <w:kern w:val="0"/>
                <w:sz w:val="18"/>
                <w:szCs w:val="18"/>
                <w:highlight w:val="none"/>
                <w:u w:val="none"/>
                <w:lang w:val="en-US" w:eastAsia="zh-CN" w:bidi="ar-SA"/>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3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心理投射卡</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帮助心理咨询（辅导）师分析来访者心理状态。</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产品规格参数：卡册包含200多张图卡，</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是一组投射工具卡，投射不同的性格类型和人格发展趋势。简洁易用，评估快捷，投射符合度较高，是心理咨询和心理辅导的较理想辅助工具。</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rPr>
            </w:pPr>
            <w:r>
              <w:rPr>
                <w:rFonts w:hint="eastAsia" w:ascii="宋体" w:hAnsi="宋体" w:eastAsia="宋体" w:cs="宋体"/>
                <w:i w:val="0"/>
                <w:color w:val="auto"/>
                <w:kern w:val="0"/>
                <w:sz w:val="18"/>
                <w:szCs w:val="18"/>
                <w:highlight w:val="none"/>
                <w:u w:val="none"/>
                <w:lang w:val="en-US" w:eastAsia="zh-CN" w:bidi="ar-SA"/>
              </w:rPr>
              <w:t>24</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3</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心理挂图</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心理挂图中的图片所包含内容有心理制度、心理学家、不可能图形、两歧图形、错觉图形、心理趣味图和主题统觉图片以及励志，积极向上等图片。</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材质: 高清相纸；装裱方式: 金属边框。尺寸: ≥450mm×560mm。</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幅</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rPr>
            </w:pPr>
            <w:r>
              <w:rPr>
                <w:rFonts w:hint="eastAsia" w:ascii="宋体" w:hAnsi="宋体" w:eastAsia="宋体" w:cs="宋体"/>
                <w:i w:val="0"/>
                <w:color w:val="auto"/>
                <w:kern w:val="0"/>
                <w:sz w:val="18"/>
                <w:szCs w:val="18"/>
                <w:highlight w:val="none"/>
                <w:u w:val="none"/>
                <w:lang w:val="en-US" w:eastAsia="zh-CN" w:bidi="ar-SA"/>
              </w:rPr>
              <w:t>12</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4</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心理咨询室工作册</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主要用于心理咨询室日常工作记录和档案建设，每套10本。手册内容包括：心理教师工作制度、学生心理档案、学校心理咨询室台帐、心理辅导记录、高危学生情况记录、与家长沟通记录、与教师沟通记录等内容。</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5</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办公桌椅</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白色，颗粒板材质，尺寸不少于118cm*59*73，带侧柜及软式办公椅。</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6</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沙发（3人）</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布艺，材质安全、环保/布艺，材质安全、环保；布艺，艺术造型，符合整体氛围，温馨舒适</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7</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沙发 单人</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布艺，材质安全、环保/布艺，材质安全、环保；布艺，艺术造型，符合整体氛围，温馨舒适</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只</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rPr>
            </w:pPr>
            <w:r>
              <w:rPr>
                <w:rFonts w:hint="eastAsia" w:ascii="宋体" w:hAnsi="宋体" w:eastAsia="宋体" w:cs="宋体"/>
                <w:i w:val="0"/>
                <w:color w:val="auto"/>
                <w:kern w:val="0"/>
                <w:sz w:val="18"/>
                <w:szCs w:val="18"/>
                <w:highlight w:val="none"/>
                <w:u w:val="none"/>
                <w:lang w:val="en-US" w:eastAsia="zh-CN" w:bidi="ar-SA"/>
              </w:rPr>
              <w:t>12</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8</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台式电脑</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numPr>
                <w:ilvl w:val="0"/>
                <w:numId w:val="2"/>
              </w:numPr>
              <w:shd w:val="clear"/>
              <w:jc w:val="both"/>
              <w:textAlignment w:val="center"/>
              <w:rPr>
                <w:rFonts w:hint="eastAsia" w:ascii="宋体" w:hAnsi="宋体" w:eastAsia="宋体" w:cs="宋体"/>
                <w:i w:val="0"/>
                <w:color w:val="auto"/>
                <w:kern w:val="0"/>
                <w:sz w:val="20"/>
                <w:szCs w:val="20"/>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SA"/>
              </w:rPr>
              <w:t>★国产自主品牌。</w:t>
            </w:r>
          </w:p>
          <w:p>
            <w:pPr>
              <w:widowControl/>
              <w:numPr>
                <w:ilvl w:val="0"/>
                <w:numId w:val="2"/>
              </w:numPr>
              <w:shd w:val="clear"/>
              <w:ind w:left="0" w:leftChars="0" w:firstLine="0" w:firstLineChars="0"/>
              <w:jc w:val="both"/>
              <w:textAlignment w:val="center"/>
              <w:rPr>
                <w:rFonts w:hint="eastAsia" w:ascii="宋体" w:hAnsi="宋体" w:eastAsia="宋体" w:cs="宋体"/>
                <w:i w:val="0"/>
                <w:color w:val="auto"/>
                <w:kern w:val="0"/>
                <w:sz w:val="20"/>
                <w:szCs w:val="20"/>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SA"/>
              </w:rPr>
              <w:t>国产芯片 八核2.7GHz或以上</w:t>
            </w:r>
          </w:p>
          <w:p>
            <w:pPr>
              <w:widowControl/>
              <w:numPr>
                <w:ilvl w:val="0"/>
                <w:numId w:val="2"/>
              </w:numPr>
              <w:shd w:val="clear"/>
              <w:ind w:left="0" w:leftChars="0" w:firstLine="0" w:firstLineChars="0"/>
              <w:jc w:val="both"/>
              <w:textAlignment w:val="center"/>
              <w:rPr>
                <w:rFonts w:hint="eastAsia" w:ascii="宋体" w:hAnsi="宋体" w:eastAsia="宋体" w:cs="宋体"/>
                <w:i w:val="0"/>
                <w:color w:val="auto"/>
                <w:kern w:val="0"/>
                <w:sz w:val="20"/>
                <w:szCs w:val="20"/>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SA"/>
              </w:rPr>
              <w:t>标配8GB DDR4内存或以上</w:t>
            </w:r>
          </w:p>
          <w:p>
            <w:pPr>
              <w:widowControl/>
              <w:numPr>
                <w:ilvl w:val="0"/>
                <w:numId w:val="2"/>
              </w:numPr>
              <w:shd w:val="clear"/>
              <w:ind w:left="0" w:leftChars="0" w:firstLine="0" w:firstLineChars="0"/>
              <w:jc w:val="both"/>
              <w:textAlignment w:val="center"/>
              <w:rPr>
                <w:rFonts w:hint="eastAsia" w:ascii="宋体" w:hAnsi="宋体" w:eastAsia="宋体" w:cs="宋体"/>
                <w:i w:val="0"/>
                <w:color w:val="auto"/>
                <w:kern w:val="0"/>
                <w:sz w:val="20"/>
                <w:szCs w:val="20"/>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SA"/>
              </w:rPr>
              <w:t>独立显卡，显存≥2G</w:t>
            </w:r>
          </w:p>
          <w:p>
            <w:pPr>
              <w:widowControl/>
              <w:numPr>
                <w:ilvl w:val="0"/>
                <w:numId w:val="2"/>
              </w:numPr>
              <w:shd w:val="clear"/>
              <w:ind w:left="0" w:leftChars="0" w:firstLine="0" w:firstLineChars="0"/>
              <w:jc w:val="both"/>
              <w:textAlignment w:val="center"/>
              <w:rPr>
                <w:rFonts w:hint="eastAsia" w:ascii="宋体" w:hAnsi="宋体" w:eastAsia="宋体" w:cs="宋体"/>
                <w:i w:val="0"/>
                <w:color w:val="auto"/>
                <w:kern w:val="0"/>
                <w:sz w:val="20"/>
                <w:szCs w:val="20"/>
                <w:highlight w:val="none"/>
                <w:u w:val="none"/>
                <w:lang w:val="en-US" w:eastAsia="zh-CN" w:bidi="ar-SA"/>
              </w:rPr>
            </w:pPr>
            <w:r>
              <w:rPr>
                <w:rFonts w:hint="eastAsia" w:ascii="宋体" w:hAnsi="宋体" w:eastAsia="宋体" w:cs="宋体"/>
                <w:i w:val="0"/>
                <w:color w:val="auto"/>
                <w:kern w:val="0"/>
                <w:sz w:val="20"/>
                <w:szCs w:val="20"/>
                <w:highlight w:val="none"/>
                <w:u w:val="none"/>
                <w:lang w:val="en-US" w:eastAsia="zh-CN" w:bidi="ar-SA"/>
              </w:rPr>
              <w:t>SSD全固态硬盘，容量不小于256G；</w:t>
            </w:r>
          </w:p>
          <w:p>
            <w:pPr>
              <w:widowControl/>
              <w:numPr>
                <w:ilvl w:val="0"/>
                <w:numId w:val="2"/>
              </w:numPr>
              <w:shd w:val="clear"/>
              <w:ind w:left="0" w:leftChars="0" w:firstLine="0" w:firstLineChars="0"/>
              <w:jc w:val="both"/>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23.8英寸或以上尺寸，分辨率1920*1080。</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台</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9</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打印机</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A4打印、复印、扫描、30页/分钟,光学扫描分辨率600 x 600 dpi</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台</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10</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书柜</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实木材质，尺寸不少于1800mm*300mm*800mm。木本色，书柜底部带抽屉。</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个</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rPr>
            </w:pPr>
            <w:r>
              <w:rPr>
                <w:rFonts w:hint="eastAsia" w:ascii="宋体" w:hAnsi="宋体" w:eastAsia="宋体" w:cs="宋体"/>
                <w:i w:val="0"/>
                <w:color w:val="auto"/>
                <w:kern w:val="0"/>
                <w:sz w:val="18"/>
                <w:szCs w:val="18"/>
                <w:highlight w:val="none"/>
                <w:u w:val="none"/>
                <w:lang w:val="en-US" w:eastAsia="zh-CN" w:bidi="ar-SA"/>
              </w:rPr>
              <w:t>12</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11</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心理图书</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⑴适合于学生阅读的心理学、教育学图书和杂志；                                                ⑵适合于心理教师阅读的比较专业的心理学、教育学图书和杂志；                                                      ⑶适合于一般教师阅读的通俗的心理学、教育学图书和杂志。</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本</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600</w:t>
            </w:r>
          </w:p>
        </w:tc>
        <w:tc>
          <w:tcPr>
            <w:tcW w:w="450" w:type="dxa"/>
            <w:vMerge w:val="continue"/>
            <w:tcBorders>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300" w:type="dxa"/>
            <w:gridSpan w:val="6"/>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r>
              <w:rPr>
                <w:rFonts w:hint="eastAsia" w:ascii="宋体" w:hAnsi="宋体" w:eastAsia="宋体" w:cs="宋体"/>
                <w:b/>
                <w:i w:val="0"/>
                <w:color w:val="auto"/>
                <w:kern w:val="0"/>
                <w:sz w:val="20"/>
                <w:szCs w:val="20"/>
                <w:highlight w:val="none"/>
                <w:u w:val="none"/>
                <w:lang w:val="en-US" w:eastAsia="zh-CN" w:bidi="ar-SA"/>
              </w:rPr>
              <w:t>放松减压室及沙盘室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12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智能体感音乐放松系统</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i w:val="0"/>
                <w:color w:val="auto"/>
                <w:sz w:val="20"/>
                <w:szCs w:val="20"/>
                <w:highlight w:val="none"/>
                <w:u w:val="none"/>
              </w:rPr>
            </w:pPr>
            <w:r>
              <w:rPr>
                <w:rStyle w:val="8"/>
                <w:color w:val="auto"/>
                <w:highlight w:val="none"/>
                <w:lang w:val="en-US" w:eastAsia="zh-CN" w:bidi="ar-SA"/>
              </w:rPr>
              <w:t>一、产品组成</w:t>
            </w:r>
            <w:r>
              <w:rPr>
                <w:rStyle w:val="8"/>
                <w:color w:val="auto"/>
                <w:highlight w:val="none"/>
                <w:lang w:val="en-US" w:eastAsia="zh-CN" w:bidi="ar-SA"/>
              </w:rPr>
              <w:br w:type="textWrapping"/>
            </w:r>
            <w:r>
              <w:rPr>
                <w:rStyle w:val="8"/>
                <w:color w:val="auto"/>
                <w:highlight w:val="none"/>
                <w:lang w:val="en-US" w:eastAsia="zh-CN" w:bidi="ar-SA"/>
              </w:rPr>
              <w:t>1、体感型音乐放松椅1台</w:t>
            </w:r>
            <w:r>
              <w:rPr>
                <w:rStyle w:val="8"/>
                <w:color w:val="auto"/>
                <w:highlight w:val="none"/>
                <w:lang w:val="en-US" w:eastAsia="zh-CN" w:bidi="ar-SA"/>
              </w:rPr>
              <w:br w:type="textWrapping"/>
            </w:r>
            <w:r>
              <w:rPr>
                <w:rStyle w:val="8"/>
                <w:color w:val="auto"/>
                <w:highlight w:val="none"/>
                <w:lang w:val="en-US" w:eastAsia="zh-CN" w:bidi="ar-SA"/>
              </w:rPr>
              <w:t>2、安卓平板1台</w:t>
            </w:r>
            <w:r>
              <w:rPr>
                <w:rStyle w:val="8"/>
                <w:color w:val="auto"/>
                <w:highlight w:val="none"/>
                <w:lang w:val="en-US" w:eastAsia="zh-CN" w:bidi="ar-SA"/>
              </w:rPr>
              <w:br w:type="textWrapping"/>
            </w:r>
            <w:r>
              <w:rPr>
                <w:rStyle w:val="8"/>
                <w:color w:val="auto"/>
                <w:highlight w:val="none"/>
                <w:lang w:val="en-US" w:eastAsia="zh-CN" w:bidi="ar-SA"/>
              </w:rPr>
              <w:t>3、音乐放松管理系统1套</w:t>
            </w:r>
            <w:r>
              <w:rPr>
                <w:rStyle w:val="8"/>
                <w:color w:val="auto"/>
                <w:highlight w:val="none"/>
                <w:lang w:val="en-US" w:eastAsia="zh-CN" w:bidi="ar-SA"/>
              </w:rPr>
              <w:br w:type="textWrapping"/>
            </w:r>
            <w:r>
              <w:rPr>
                <w:rStyle w:val="8"/>
                <w:color w:val="auto"/>
                <w:highlight w:val="none"/>
                <w:lang w:val="en-US" w:eastAsia="zh-CN" w:bidi="ar-SA"/>
              </w:rPr>
              <w:t>4、音乐视听资料U盘1个16G</w:t>
            </w:r>
            <w:r>
              <w:rPr>
                <w:rStyle w:val="8"/>
                <w:color w:val="auto"/>
                <w:highlight w:val="none"/>
                <w:lang w:val="en-US" w:eastAsia="zh-CN" w:bidi="ar-SA"/>
              </w:rPr>
              <w:br w:type="textWrapping"/>
            </w:r>
            <w:r>
              <w:rPr>
                <w:rStyle w:val="8"/>
                <w:color w:val="auto"/>
                <w:highlight w:val="none"/>
                <w:lang w:val="en-US" w:eastAsia="zh-CN" w:bidi="ar-SA"/>
              </w:rPr>
              <w:t>5、心理治疗工具包：《音乐治疗导论》书籍1本；音乐耳机1副；催眠眼罩1个；</w:t>
            </w:r>
            <w:r>
              <w:rPr>
                <w:rStyle w:val="9"/>
                <w:color w:val="auto"/>
                <w:highlight w:val="none"/>
                <w:lang w:val="en-US" w:eastAsia="zh-CN" w:bidi="ar-SA"/>
              </w:rPr>
              <w:t xml:space="preserve">催眠球1个 </w:t>
            </w:r>
            <w:r>
              <w:rPr>
                <w:rStyle w:val="8"/>
                <w:color w:val="auto"/>
                <w:highlight w:val="none"/>
                <w:lang w:val="en-US" w:eastAsia="zh-CN" w:bidi="ar-SA"/>
              </w:rPr>
              <w:br w:type="textWrapping"/>
            </w:r>
            <w:r>
              <w:rPr>
                <w:rStyle w:val="8"/>
                <w:color w:val="auto"/>
                <w:highlight w:val="none"/>
                <w:lang w:val="en-US" w:eastAsia="zh-CN" w:bidi="ar-SA"/>
              </w:rPr>
              <w:t>二、详细参数</w:t>
            </w:r>
            <w:r>
              <w:rPr>
                <w:rStyle w:val="8"/>
                <w:color w:val="auto"/>
                <w:highlight w:val="none"/>
                <w:lang w:val="en-US" w:eastAsia="zh-CN" w:bidi="ar-SA"/>
              </w:rPr>
              <w:br w:type="textWrapping"/>
            </w:r>
            <w:r>
              <w:rPr>
                <w:rStyle w:val="8"/>
                <w:color w:val="auto"/>
                <w:highlight w:val="none"/>
                <w:lang w:val="en-US" w:eastAsia="zh-CN" w:bidi="ar-SA"/>
              </w:rPr>
              <w:t>尺寸：≥850mm（长）*980mm（宽）*1000mm(高）(椅背收起)</w:t>
            </w:r>
            <w:r>
              <w:rPr>
                <w:rStyle w:val="8"/>
                <w:color w:val="auto"/>
                <w:highlight w:val="none"/>
                <w:lang w:val="en-US" w:eastAsia="zh-CN" w:bidi="ar-SA"/>
              </w:rPr>
              <w:br w:type="textWrapping"/>
            </w:r>
            <w:r>
              <w:rPr>
                <w:rStyle w:val="8"/>
                <w:color w:val="auto"/>
                <w:highlight w:val="none"/>
                <w:lang w:val="en-US" w:eastAsia="zh-CN" w:bidi="ar-SA"/>
              </w:rPr>
              <w:t>≥1580mm（长）*980mm（宽）*580mm(高）（椅背展开）</w:t>
            </w:r>
            <w:r>
              <w:rPr>
                <w:rStyle w:val="8"/>
                <w:color w:val="auto"/>
                <w:highlight w:val="none"/>
                <w:lang w:val="en-US" w:eastAsia="zh-CN" w:bidi="ar-SA"/>
              </w:rPr>
              <w:br w:type="textWrapping"/>
            </w:r>
            <w:r>
              <w:rPr>
                <w:rStyle w:val="8"/>
                <w:color w:val="auto"/>
                <w:highlight w:val="none"/>
                <w:lang w:val="en-US" w:eastAsia="zh-CN" w:bidi="ar-SA"/>
              </w:rPr>
              <w:t>产品净重：45KG   最大承载量：100KG；电源：220V（50Hz）</w:t>
            </w:r>
            <w:r>
              <w:rPr>
                <w:rStyle w:val="8"/>
                <w:color w:val="auto"/>
                <w:highlight w:val="none"/>
                <w:lang w:val="en-US" w:eastAsia="zh-CN" w:bidi="ar-SA"/>
              </w:rPr>
              <w:br w:type="textWrapping"/>
            </w:r>
            <w:r>
              <w:rPr>
                <w:rStyle w:val="8"/>
                <w:color w:val="auto"/>
                <w:highlight w:val="none"/>
                <w:lang w:val="en-US" w:eastAsia="zh-CN" w:bidi="ar-SA"/>
              </w:rPr>
              <w:t>产品系统一：</w:t>
            </w:r>
            <w:r>
              <w:rPr>
                <w:rStyle w:val="8"/>
                <w:color w:val="auto"/>
                <w:highlight w:val="none"/>
                <w:lang w:val="en-US" w:eastAsia="zh-CN" w:bidi="ar-SA"/>
              </w:rPr>
              <w:br w:type="textWrapping"/>
            </w:r>
            <w:r>
              <w:rPr>
                <w:rStyle w:val="8"/>
                <w:color w:val="auto"/>
                <w:highlight w:val="none"/>
                <w:lang w:val="en-US" w:eastAsia="zh-CN" w:bidi="ar-SA"/>
              </w:rPr>
              <w:t>1、独立电动控制系统：音乐椅靠背、腿部电动控制设计，靠背约100度-170度，腿部约90度-170度任意调节。</w:t>
            </w:r>
            <w:r>
              <w:rPr>
                <w:rStyle w:val="8"/>
                <w:color w:val="auto"/>
                <w:highlight w:val="none"/>
                <w:lang w:val="en-US" w:eastAsia="zh-CN" w:bidi="ar-SA"/>
              </w:rPr>
              <w:br w:type="textWrapping"/>
            </w:r>
            <w:r>
              <w:rPr>
                <w:rStyle w:val="8"/>
                <w:color w:val="auto"/>
                <w:highlight w:val="none"/>
                <w:lang w:val="en-US" w:eastAsia="zh-CN" w:bidi="ar-SA"/>
              </w:rPr>
              <w:t>2、播放系统：采用安卓系统，≥10.1寸屏幕，系统内存：≥4G；储存空间：≥16G；≥8核心，支持任意格式音乐、心理文章，心理图片、心理电影播放，可连接WiFi。运行速度流畅，多点式触摸屏，使用方便，携带方便，视觉体验出众。</w:t>
            </w:r>
            <w:r>
              <w:rPr>
                <w:rStyle w:val="8"/>
                <w:color w:val="auto"/>
                <w:highlight w:val="none"/>
                <w:lang w:val="en-US" w:eastAsia="zh-CN" w:bidi="ar-SA"/>
              </w:rPr>
              <w:br w:type="textWrapping"/>
            </w:r>
            <w:r>
              <w:rPr>
                <w:rStyle w:val="8"/>
                <w:color w:val="auto"/>
                <w:highlight w:val="none"/>
                <w:lang w:val="en-US" w:eastAsia="zh-CN" w:bidi="ar-SA"/>
              </w:rPr>
              <w:t>3、音乐放松管理系统：分为心理影音、心理训练、心理助手、用户管理四大模块。</w:t>
            </w:r>
            <w:r>
              <w:rPr>
                <w:rStyle w:val="8"/>
                <w:color w:val="auto"/>
                <w:highlight w:val="none"/>
                <w:lang w:val="en-US" w:eastAsia="zh-CN" w:bidi="ar-SA"/>
              </w:rPr>
              <w:br w:type="textWrapping"/>
            </w:r>
            <w:r>
              <w:rPr>
                <w:rStyle w:val="8"/>
                <w:color w:val="auto"/>
                <w:highlight w:val="none"/>
                <w:lang w:val="en-US" w:eastAsia="zh-CN" w:bidi="ar-SA"/>
              </w:rPr>
              <w:t>3-1心理影音包括大量心理图片，其中风景放松图不少于80张、光学错觉图不少于110张、几何错觉图不少于100张，视觉动态图不少于200张，心理错觉图不少于300张；心理电影及讲座不少于20个；心理百科内含不少于60张心理放松图片，通过过卡通漫画配以文字介绍，通俗易懂，简单直观地让用户了解日常释压食物及放松方法，从而达到快速排解心理压力，其中图片包括7大类育运动，不少于6种心理放松疗法，不少于7种心理减压组合餐推荐，不少于15种释压的水果、花草及茶点，多种肢体放松行为。</w:t>
            </w:r>
            <w:r>
              <w:rPr>
                <w:rStyle w:val="8"/>
                <w:color w:val="auto"/>
                <w:highlight w:val="none"/>
                <w:lang w:val="en-US" w:eastAsia="zh-CN" w:bidi="ar-SA"/>
              </w:rPr>
              <w:br w:type="textWrapping"/>
            </w:r>
            <w:r>
              <w:rPr>
                <w:rStyle w:val="8"/>
                <w:color w:val="auto"/>
                <w:highlight w:val="none"/>
                <w:lang w:val="en-US" w:eastAsia="zh-CN" w:bidi="ar-SA"/>
              </w:rPr>
              <w:t>10大心理音乐，包括：</w:t>
            </w:r>
            <w:r>
              <w:rPr>
                <w:rStyle w:val="8"/>
                <w:color w:val="auto"/>
                <w:highlight w:val="none"/>
                <w:lang w:val="en-US" w:eastAsia="zh-CN" w:bidi="ar-SA"/>
              </w:rPr>
              <w:br w:type="textWrapping"/>
            </w:r>
            <w:r>
              <w:rPr>
                <w:rStyle w:val="8"/>
                <w:color w:val="auto"/>
                <w:highlight w:val="none"/>
                <w:lang w:val="en-US" w:eastAsia="zh-CN" w:bidi="ar-SA"/>
              </w:rPr>
              <w:t>（1）改善失眠、促进睡眠 ：脑波音乐、深度睡眠音乐，音乐放松音乐等；</w:t>
            </w:r>
            <w:r>
              <w:rPr>
                <w:rStyle w:val="8"/>
                <w:color w:val="auto"/>
                <w:highlight w:val="none"/>
                <w:lang w:val="en-US" w:eastAsia="zh-CN" w:bidi="ar-SA"/>
              </w:rPr>
              <w:br w:type="textWrapping"/>
            </w:r>
            <w:r>
              <w:rPr>
                <w:rStyle w:val="8"/>
                <w:color w:val="auto"/>
                <w:highlight w:val="none"/>
                <w:lang w:val="en-US" w:eastAsia="zh-CN" w:bidi="ar-SA"/>
              </w:rPr>
              <w:t>（2）消除寂寞、减少失落感 ：心灵音乐馆之-谣風、池清凉、唱遍山月、春芽等；</w:t>
            </w:r>
            <w:r>
              <w:rPr>
                <w:rStyle w:val="8"/>
                <w:color w:val="auto"/>
                <w:highlight w:val="none"/>
                <w:lang w:val="en-US" w:eastAsia="zh-CN" w:bidi="ar-SA"/>
              </w:rPr>
              <w:br w:type="textWrapping"/>
            </w:r>
            <w:r>
              <w:rPr>
                <w:rStyle w:val="8"/>
                <w:color w:val="auto"/>
                <w:highlight w:val="none"/>
                <w:lang w:val="en-US" w:eastAsia="zh-CN" w:bidi="ar-SA"/>
              </w:rPr>
              <w:t>（3）消除悲伤、抚慰心灵：α脑波音乐；</w:t>
            </w:r>
            <w:r>
              <w:rPr>
                <w:rStyle w:val="8"/>
                <w:color w:val="auto"/>
                <w:highlight w:val="none"/>
                <w:lang w:val="en-US" w:eastAsia="zh-CN" w:bidi="ar-SA"/>
              </w:rPr>
              <w:br w:type="textWrapping"/>
            </w:r>
            <w:r>
              <w:rPr>
                <w:rStyle w:val="8"/>
                <w:color w:val="auto"/>
                <w:highlight w:val="none"/>
                <w:lang w:val="en-US" w:eastAsia="zh-CN" w:bidi="ar-SA"/>
              </w:rPr>
              <w:t>（4）消除愤怒、消除心灵淤塞:纯音乐之-你的笑颜、夕阳箫鼓、小霓裳等；</w:t>
            </w:r>
            <w:r>
              <w:rPr>
                <w:rStyle w:val="8"/>
                <w:color w:val="auto"/>
                <w:highlight w:val="none"/>
                <w:lang w:val="en-US" w:eastAsia="zh-CN" w:bidi="ar-SA"/>
              </w:rPr>
              <w:br w:type="textWrapping"/>
            </w:r>
            <w:r>
              <w:rPr>
                <w:rStyle w:val="8"/>
                <w:color w:val="auto"/>
                <w:highlight w:val="none"/>
                <w:lang w:val="en-US" w:eastAsia="zh-CN" w:bidi="ar-SA"/>
              </w:rPr>
              <w:t>（5）消除浮躁、促进内心平静：大自然背景声（小桥流水、鸟语花香、荷塘月色、寂静山林等）；</w:t>
            </w:r>
            <w:r>
              <w:rPr>
                <w:rStyle w:val="8"/>
                <w:color w:val="auto"/>
                <w:highlight w:val="none"/>
                <w:lang w:val="en-US" w:eastAsia="zh-CN" w:bidi="ar-SA"/>
              </w:rPr>
              <w:br w:type="textWrapping"/>
            </w:r>
            <w:r>
              <w:rPr>
                <w:rStyle w:val="8"/>
                <w:color w:val="auto"/>
                <w:highlight w:val="none"/>
                <w:lang w:val="en-US" w:eastAsia="zh-CN" w:bidi="ar-SA"/>
              </w:rPr>
              <w:t>（6）消除紧张，焦虑：自信训练。（减压音乐等）；</w:t>
            </w:r>
            <w:r>
              <w:rPr>
                <w:rStyle w:val="8"/>
                <w:color w:val="auto"/>
                <w:highlight w:val="none"/>
                <w:lang w:val="en-US" w:eastAsia="zh-CN" w:bidi="ar-SA"/>
              </w:rPr>
              <w:br w:type="textWrapping"/>
            </w:r>
            <w:r>
              <w:rPr>
                <w:rStyle w:val="8"/>
                <w:color w:val="auto"/>
                <w:highlight w:val="none"/>
                <w:lang w:val="en-US" w:eastAsia="zh-CN" w:bidi="ar-SA"/>
              </w:rPr>
              <w:t>（7）消除自卑，提升自信：（冥想合放松音乐）；</w:t>
            </w:r>
            <w:r>
              <w:rPr>
                <w:rStyle w:val="8"/>
                <w:color w:val="auto"/>
                <w:highlight w:val="none"/>
                <w:lang w:val="en-US" w:eastAsia="zh-CN" w:bidi="ar-SA"/>
              </w:rPr>
              <w:br w:type="textWrapping"/>
            </w:r>
            <w:r>
              <w:rPr>
                <w:rStyle w:val="8"/>
                <w:color w:val="auto"/>
                <w:highlight w:val="none"/>
                <w:lang w:val="en-US" w:eastAsia="zh-CN" w:bidi="ar-SA"/>
              </w:rPr>
              <w:t>（8）缓解身心疲劳：（天韵五行音乐等）；</w:t>
            </w:r>
            <w:r>
              <w:rPr>
                <w:rStyle w:val="8"/>
                <w:color w:val="auto"/>
                <w:highlight w:val="none"/>
                <w:lang w:val="en-US" w:eastAsia="zh-CN" w:bidi="ar-SA"/>
              </w:rPr>
              <w:br w:type="textWrapping"/>
            </w:r>
            <w:r>
              <w:rPr>
                <w:rStyle w:val="8"/>
                <w:color w:val="auto"/>
                <w:highlight w:val="none"/>
                <w:lang w:val="en-US" w:eastAsia="zh-CN" w:bidi="ar-SA"/>
              </w:rPr>
              <w:t>（9）接触忧郁、情绪：（嘎达梅林、假日海滩、云水禅心等）；</w:t>
            </w:r>
            <w:r>
              <w:rPr>
                <w:rStyle w:val="8"/>
                <w:color w:val="auto"/>
                <w:highlight w:val="none"/>
                <w:lang w:val="en-US" w:eastAsia="zh-CN" w:bidi="ar-SA"/>
              </w:rPr>
              <w:br w:type="textWrapping"/>
            </w:r>
            <w:r>
              <w:rPr>
                <w:rStyle w:val="8"/>
                <w:color w:val="auto"/>
                <w:highlight w:val="none"/>
                <w:lang w:val="en-US" w:eastAsia="zh-CN" w:bidi="ar-SA"/>
              </w:rPr>
              <w:t>（10）陶冶心情、醒脑提神：（旺盛的自愈力、自律与决心、释放压力、内在调和等）。</w:t>
            </w:r>
            <w:r>
              <w:rPr>
                <w:rStyle w:val="8"/>
                <w:color w:val="auto"/>
                <w:highlight w:val="none"/>
                <w:lang w:val="en-US" w:eastAsia="zh-CN" w:bidi="ar-SA"/>
              </w:rPr>
              <w:br w:type="textWrapping"/>
            </w:r>
            <w:r>
              <w:rPr>
                <w:rStyle w:val="8"/>
                <w:color w:val="auto"/>
                <w:highlight w:val="none"/>
                <w:lang w:val="en-US" w:eastAsia="zh-CN" w:bidi="ar-SA"/>
              </w:rPr>
              <w:t>3-2心理训练包括三大真人放松训练、社交投射训练（共分为爱心、鼓励、问候、笑脸、谢谢5大类别，由不少于20个学生运用语言、行为传递积极向上的正能量，从而潜移默化达到提升用户社交能力、增强自我自信品质效果）；趣味测试内不少于10个趣味量表测试，通过趣味诙谐的语言和正面肯定的模式让用户增进用户自我自信心。</w:t>
            </w:r>
            <w:r>
              <w:rPr>
                <w:rStyle w:val="8"/>
                <w:color w:val="auto"/>
                <w:highlight w:val="none"/>
                <w:lang w:val="en-US" w:eastAsia="zh-CN" w:bidi="ar-SA"/>
              </w:rPr>
              <w:br w:type="textWrapping"/>
            </w:r>
            <w:r>
              <w:rPr>
                <w:rStyle w:val="8"/>
                <w:color w:val="auto"/>
                <w:highlight w:val="none"/>
                <w:lang w:val="en-US" w:eastAsia="zh-CN" w:bidi="ar-SA"/>
              </w:rPr>
              <w:t>3-3心理助手包括呼吸助手与训练助手，呼吸助手按舒缓、稍快两种训练模式，通过动画将语音提示形象展现，用户根据语音提示的节奏进行模仿训练，可有效地缓解压力，预防心肺问题，适合所有人群，尤指运动极少，轻度焦虑者；训练助手内置36种场景音乐，8种不同播放时长选择，用户可根据需求选择相应的场景音乐及播放时长进行想象放松，缓解躯体紧张，帮助大脑放松。</w:t>
            </w:r>
            <w:r>
              <w:rPr>
                <w:rStyle w:val="8"/>
                <w:color w:val="auto"/>
                <w:highlight w:val="none"/>
                <w:lang w:val="en-US" w:eastAsia="zh-CN" w:bidi="ar-SA"/>
              </w:rPr>
              <w:br w:type="textWrapping"/>
            </w:r>
            <w:r>
              <w:rPr>
                <w:rStyle w:val="8"/>
                <w:color w:val="auto"/>
                <w:highlight w:val="none"/>
                <w:lang w:val="en-US" w:eastAsia="zh-CN" w:bidi="ar-SA"/>
              </w:rPr>
              <w:t>3-4用户管理：可直接查询用户注册相关信息，及以用户使用该系统整体记录。</w:t>
            </w:r>
            <w:r>
              <w:rPr>
                <w:rStyle w:val="8"/>
                <w:color w:val="auto"/>
                <w:highlight w:val="none"/>
                <w:lang w:val="en-US" w:eastAsia="zh-CN" w:bidi="ar-SA"/>
              </w:rPr>
              <w:br w:type="textWrapping"/>
            </w:r>
            <w:r>
              <w:rPr>
                <w:rStyle w:val="8"/>
                <w:color w:val="auto"/>
                <w:highlight w:val="none"/>
                <w:lang w:val="en-US" w:eastAsia="zh-CN" w:bidi="ar-SA"/>
              </w:rPr>
              <w:t xml:space="preserve"> 4、播音系统:内置高品质播放系统，带蓝牙，带有模拟音频信号输入接口、USB输入接口，支持电脑、手机、平板等随需切换无线/有线模式，更多应用场景。</w:t>
            </w:r>
            <w:r>
              <w:rPr>
                <w:rStyle w:val="8"/>
                <w:color w:val="auto"/>
                <w:highlight w:val="none"/>
                <w:lang w:val="en-US" w:eastAsia="zh-CN" w:bidi="ar-SA"/>
              </w:rPr>
              <w:br w:type="textWrapping"/>
            </w:r>
            <w:r>
              <w:rPr>
                <w:rStyle w:val="8"/>
                <w:color w:val="auto"/>
                <w:highlight w:val="none"/>
                <w:lang w:val="en-US" w:eastAsia="zh-CN" w:bidi="ar-SA"/>
              </w:rPr>
              <w:t xml:space="preserve"> 5、存储系统：支持USB存储设备等。</w:t>
            </w:r>
            <w:r>
              <w:rPr>
                <w:rStyle w:val="8"/>
                <w:color w:val="auto"/>
                <w:highlight w:val="none"/>
                <w:lang w:val="en-US" w:eastAsia="zh-CN" w:bidi="ar-SA"/>
              </w:rPr>
              <w:br w:type="textWrapping"/>
            </w:r>
            <w:r>
              <w:rPr>
                <w:rStyle w:val="8"/>
                <w:color w:val="auto"/>
                <w:highlight w:val="none"/>
                <w:lang w:val="en-US" w:eastAsia="zh-CN" w:bidi="ar-SA"/>
              </w:rPr>
              <w:t xml:space="preserve"> 6、多功能控制器：具有自动及音乐同步两种按摩模式，借助多功能控制面板，可实现对音频、震动、音源、歌曲、座椅姿势随意切换，系统将跟随音乐的节奏变化而变化，从而达到音乐和按摩同步效果。通过面板控制加热功能按钮，开启放松椅内的电加热丝进行内部加热，并通过热传递将热量传递给乘坐者，实现加热功能，有效提高天寒时节使用时的舒适感。        </w:t>
            </w:r>
            <w:r>
              <w:rPr>
                <w:rStyle w:val="8"/>
                <w:color w:val="auto"/>
                <w:highlight w:val="none"/>
                <w:lang w:val="en-US" w:eastAsia="zh-CN" w:bidi="ar-SA"/>
              </w:rPr>
              <w:br w:type="textWrapping"/>
            </w:r>
            <w:r>
              <w:rPr>
                <w:rStyle w:val="8"/>
                <w:color w:val="auto"/>
                <w:highlight w:val="none"/>
                <w:lang w:val="en-US" w:eastAsia="zh-CN" w:bidi="ar-SA"/>
              </w:rPr>
              <w:t xml:space="preserve"> 7、头等舱设计开发的小牛皮座椅。</w:t>
            </w:r>
            <w:r>
              <w:rPr>
                <w:rStyle w:val="8"/>
                <w:color w:val="auto"/>
                <w:highlight w:val="none"/>
                <w:lang w:val="en-US" w:eastAsia="zh-CN" w:bidi="ar-SA"/>
              </w:rPr>
              <w:br w:type="textWrapping"/>
            </w:r>
            <w:r>
              <w:rPr>
                <w:rStyle w:val="8"/>
                <w:color w:val="auto"/>
                <w:highlight w:val="none"/>
                <w:lang w:val="en-US" w:eastAsia="zh-CN" w:bidi="ar-SA"/>
              </w:rPr>
              <w:t>产品系统二学习障碍干预系统功能介绍：</w:t>
            </w:r>
            <w:r>
              <w:rPr>
                <w:rStyle w:val="8"/>
                <w:color w:val="auto"/>
                <w:highlight w:val="none"/>
                <w:lang w:val="en-US" w:eastAsia="zh-CN" w:bidi="ar-SA"/>
              </w:rPr>
              <w:br w:type="textWrapping"/>
            </w:r>
            <w:r>
              <w:rPr>
                <w:rStyle w:val="8"/>
                <w:color w:val="auto"/>
                <w:highlight w:val="none"/>
                <w:lang w:val="en-US" w:eastAsia="zh-CN" w:bidi="ar-SA"/>
              </w:rPr>
              <w:t>此系统是一款针对具有偏科、厌学、分心、考试焦虑四种常见学习障碍进行系统辅导的科学系统，而没有明显学习障碍的学生运使用此产品训练之后可有效预防严重学习障碍的发生。系统结合案例从四种学习障碍形成的原因、过程等方面进行深入的讲解和教学，手把手为学校心理老师、各任课老师、班主任、年级组长有效识别学习障碍学生，为其及时提供科学辅导提供依据。此系统所涉及的技术原理经过国际国内相关专家论证认可，是一项可系统科学干预学习障碍的高效技术。从学、训、练、防、治等多个角度切入，是一款有效解决学习障碍，提升学习效率的产品。</w:t>
            </w:r>
            <w:r>
              <w:rPr>
                <w:rStyle w:val="8"/>
                <w:color w:val="auto"/>
                <w:highlight w:val="none"/>
                <w:lang w:val="en-US" w:eastAsia="zh-CN" w:bidi="ar-SA"/>
              </w:rPr>
              <w:br w:type="textWrapping"/>
            </w:r>
            <w:r>
              <w:rPr>
                <w:rStyle w:val="8"/>
                <w:color w:val="auto"/>
                <w:highlight w:val="none"/>
                <w:lang w:val="en-US" w:eastAsia="zh-CN" w:bidi="ar-SA"/>
              </w:rPr>
              <w:t>系统功能</w:t>
            </w:r>
            <w:r>
              <w:rPr>
                <w:rStyle w:val="8"/>
                <w:color w:val="auto"/>
                <w:highlight w:val="none"/>
                <w:lang w:val="en-US" w:eastAsia="zh-CN" w:bidi="ar-SA"/>
              </w:rPr>
              <w:br w:type="textWrapping"/>
            </w:r>
            <w:r>
              <w:rPr>
                <w:rStyle w:val="8"/>
                <w:color w:val="auto"/>
                <w:highlight w:val="none"/>
                <w:lang w:val="en-US" w:eastAsia="zh-CN" w:bidi="ar-SA"/>
              </w:rPr>
              <w:t>1、用户可通过用户名密码和刷脸两种模式登陆系统。</w:t>
            </w:r>
            <w:r>
              <w:rPr>
                <w:rStyle w:val="8"/>
                <w:color w:val="auto"/>
                <w:highlight w:val="none"/>
                <w:lang w:val="en-US" w:eastAsia="zh-CN" w:bidi="ar-SA"/>
              </w:rPr>
              <w:br w:type="textWrapping"/>
            </w:r>
            <w:r>
              <w:rPr>
                <w:rStyle w:val="8"/>
                <w:color w:val="auto"/>
                <w:highlight w:val="none"/>
                <w:lang w:val="en-US" w:eastAsia="zh-CN" w:bidi="ar-SA"/>
              </w:rPr>
              <w:t>2、系统分为学习中心、训练中心、解决方案以及数据中心等不少于四大模块。</w:t>
            </w:r>
            <w:r>
              <w:rPr>
                <w:rStyle w:val="8"/>
                <w:color w:val="auto"/>
                <w:highlight w:val="none"/>
                <w:lang w:val="en-US" w:eastAsia="zh-CN" w:bidi="ar-SA"/>
              </w:rPr>
              <w:br w:type="textWrapping"/>
            </w:r>
            <w:r>
              <w:rPr>
                <w:rStyle w:val="8"/>
                <w:color w:val="auto"/>
                <w:highlight w:val="none"/>
                <w:lang w:val="en-US" w:eastAsia="zh-CN" w:bidi="ar-SA"/>
              </w:rPr>
              <w:t>2-1-1、学习中心：包括厌学、偏科、分心、考试焦虑、心理学原理性知识5个内容。从情景导入着手，用微课的方式对厌学、偏科、分心、考试焦虑四种常见学习障碍的定义、表现形式、心理机制分析、形成过程，并针对性地提出解决方案。四种学习障碍均配以一个典型的案例，从问题表现、如何发现、如何辅导进行全面系统地解析。画面生动、形象并结合文字呈现，课程生动有趣、寓学于乐。</w:t>
            </w:r>
            <w:r>
              <w:rPr>
                <w:rStyle w:val="8"/>
                <w:color w:val="auto"/>
                <w:highlight w:val="none"/>
                <w:lang w:val="en-US" w:eastAsia="zh-CN" w:bidi="ar-SA"/>
              </w:rPr>
              <w:br w:type="textWrapping"/>
            </w:r>
            <w:r>
              <w:rPr>
                <w:rStyle w:val="8"/>
                <w:color w:val="auto"/>
                <w:highlight w:val="none"/>
                <w:lang w:val="en-US" w:eastAsia="zh-CN" w:bidi="ar-SA"/>
              </w:rPr>
              <w:t>2-1-2、★训练中心：拥有高空行走、菩提树、心率小车3种画面精美、背景丰富的调节训练游戏。（提供检测报告证明）</w:t>
            </w:r>
            <w:r>
              <w:rPr>
                <w:rStyle w:val="8"/>
                <w:color w:val="auto"/>
                <w:highlight w:val="none"/>
                <w:lang w:val="en-US" w:eastAsia="zh-CN" w:bidi="ar-SA"/>
              </w:rPr>
              <w:br w:type="textWrapping"/>
            </w:r>
            <w:r>
              <w:rPr>
                <w:rStyle w:val="8"/>
                <w:color w:val="auto"/>
                <w:highlight w:val="none"/>
                <w:lang w:val="en-US" w:eastAsia="zh-CN" w:bidi="ar-SA"/>
              </w:rPr>
              <w:t>训练中呼吸助手悬浮于画面，实时显示心率血氧生理指标结果，有效地帮助训练者在训练过程中调控呼吸，使训练者在压力情境中更好地控制情绪，长期练习更能提高训练者自我调节压力能力的效果。</w:t>
            </w:r>
            <w:r>
              <w:rPr>
                <w:rStyle w:val="8"/>
                <w:color w:val="auto"/>
                <w:highlight w:val="none"/>
                <w:lang w:val="en-US" w:eastAsia="zh-CN" w:bidi="ar-SA"/>
              </w:rPr>
              <w:br w:type="textWrapping"/>
            </w:r>
            <w:r>
              <w:rPr>
                <w:rStyle w:val="8"/>
                <w:color w:val="auto"/>
                <w:highlight w:val="none"/>
                <w:lang w:val="en-US" w:eastAsia="zh-CN" w:bidi="ar-SA"/>
              </w:rPr>
              <w:t>2-1-3、★解决方案：模块列表可对解决方案模块分类，音频播放刻薄阿芳解决方案音频。（提供检测报告证明）</w:t>
            </w:r>
            <w:r>
              <w:rPr>
                <w:rStyle w:val="8"/>
                <w:color w:val="auto"/>
                <w:highlight w:val="none"/>
                <w:lang w:val="en-US" w:eastAsia="zh-CN" w:bidi="ar-SA"/>
              </w:rPr>
              <w:br w:type="textWrapping"/>
            </w:r>
            <w:r>
              <w:rPr>
                <w:rStyle w:val="8"/>
                <w:color w:val="auto"/>
                <w:highlight w:val="none"/>
                <w:lang w:val="en-US" w:eastAsia="zh-CN" w:bidi="ar-SA"/>
              </w:rPr>
              <w:t>具体功能从影响学习因素的生活与学习方面影响着手，根据课堂、课后学习过程中常见影响学生学习成绩的因素系统设计了包括考前调整方案、考中调整方案、考后调整方案、睡眠调整方案、自习调整方案、课堂调整方案、课前整理方案7个针对性的训练方案。结合放松训练、积极心理法、想像放松而设计的积极且可有效运行的程序性知识。从学生早晨醒来至晚上睡眠的正常学习与生活状态，如课前状态、课堂高效学习状态、课后高效自习状态、良好睡眠、考前稳定的学习状态和发挥状态、考后等多个学习相关情境进行针对性训练，经多次训练之后，可有效调动学习积极性、塑造良好课堂及自习状态，稳定考前和考试期间学习与考试状态。</w:t>
            </w:r>
            <w:r>
              <w:rPr>
                <w:rStyle w:val="8"/>
                <w:color w:val="auto"/>
                <w:highlight w:val="none"/>
                <w:lang w:val="en-US" w:eastAsia="zh-CN" w:bidi="ar-SA"/>
              </w:rPr>
              <w:br w:type="textWrapping"/>
            </w:r>
            <w:r>
              <w:rPr>
                <w:rStyle w:val="8"/>
                <w:color w:val="auto"/>
                <w:highlight w:val="none"/>
                <w:lang w:val="en-US" w:eastAsia="zh-CN" w:bidi="ar-SA"/>
              </w:rPr>
              <w:t>2-2数据中心：用户可在该模块查看训练记录。</w:t>
            </w:r>
            <w:r>
              <w:rPr>
                <w:rStyle w:val="8"/>
                <w:color w:val="auto"/>
                <w:highlight w:val="none"/>
                <w:lang w:val="en-US" w:eastAsia="zh-CN" w:bidi="ar-SA"/>
              </w:rPr>
              <w:br w:type="textWrapping"/>
            </w:r>
            <w:r>
              <w:rPr>
                <w:rStyle w:val="8"/>
                <w:color w:val="auto"/>
                <w:highlight w:val="none"/>
                <w:lang w:val="en-US" w:eastAsia="zh-CN" w:bidi="ar-SA"/>
              </w:rPr>
              <w:t>2-2-1★训练记录：训练列表（个人信息）、训练记录（训练信息）；（提供检测报告证明）</w:t>
            </w:r>
            <w:r>
              <w:rPr>
                <w:rStyle w:val="8"/>
                <w:color w:val="auto"/>
                <w:highlight w:val="none"/>
                <w:lang w:val="en-US" w:eastAsia="zh-CN" w:bidi="ar-SA"/>
              </w:rPr>
              <w:br w:type="textWrapping"/>
            </w:r>
            <w:r>
              <w:rPr>
                <w:rStyle w:val="8"/>
                <w:color w:val="auto"/>
                <w:highlight w:val="none"/>
                <w:lang w:val="en-US" w:eastAsia="zh-CN" w:bidi="ar-SA"/>
              </w:rPr>
              <w:t>详细记录了训练者参与的游戏类型，使用过程中的平均心率、训练时间及训练时长对比。训练时长对比以图表方式直观展示各类生理指标，且用户可对生理指标变化曲线进行自由缩放查看，并提供相应的结果报告建议。</w:t>
            </w:r>
            <w:r>
              <w:rPr>
                <w:rStyle w:val="8"/>
                <w:color w:val="auto"/>
                <w:highlight w:val="none"/>
                <w:lang w:val="en-US" w:eastAsia="zh-CN" w:bidi="ar-SA"/>
              </w:rPr>
              <w:br w:type="textWrapping"/>
            </w:r>
            <w:r>
              <w:rPr>
                <w:rStyle w:val="8"/>
                <w:color w:val="auto"/>
                <w:highlight w:val="none"/>
                <w:lang w:val="en-US" w:eastAsia="zh-CN" w:bidi="ar-SA"/>
              </w:rPr>
              <w:t>2-3 配套课程：由具有丰富经验和教学经验的专家老师为用户单位老师提供一天学习障碍的线上课程（课程由厂家统一安排开课时间）。</w:t>
            </w:r>
            <w:r>
              <w:rPr>
                <w:rStyle w:val="8"/>
                <w:color w:val="auto"/>
                <w:highlight w:val="none"/>
                <w:lang w:val="en-US" w:eastAsia="zh-CN" w:bidi="ar-SA"/>
              </w:rPr>
              <w:br w:type="textWrapping"/>
            </w:r>
            <w:r>
              <w:rPr>
                <w:rStyle w:val="8"/>
                <w:color w:val="auto"/>
                <w:highlight w:val="none"/>
                <w:lang w:val="en-US" w:eastAsia="zh-CN" w:bidi="ar-SA"/>
              </w:rPr>
              <w:t xml:space="preserve">2-4版本更新：系统版本升级，系统可自动远程识别并进行升级。 </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450" w:type="dxa"/>
            <w:vMerge w:val="restart"/>
            <w:tcBorders>
              <w:top w:val="single" w:color="000000" w:sz="4" w:space="0"/>
              <w:left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kern w:val="0"/>
                <w:sz w:val="18"/>
                <w:szCs w:val="18"/>
                <w:highlight w:val="none"/>
                <w:u w:val="none"/>
                <w:lang w:val="en-US" w:eastAsia="zh-CN" w:bidi="ar-SA"/>
              </w:rPr>
            </w:pPr>
            <w:r>
              <w:rPr>
                <w:rFonts w:hint="eastAsia" w:ascii="宋体" w:hAnsi="宋体" w:eastAsia="宋体" w:cs="宋体"/>
                <w:i w:val="0"/>
                <w:color w:val="auto"/>
                <w:kern w:val="0"/>
                <w:sz w:val="18"/>
                <w:szCs w:val="18"/>
                <w:highlight w:val="none"/>
                <w:u w:val="none"/>
                <w:lang w:val="en-US" w:eastAsia="zh-CN" w:bidi="ar-SA"/>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32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13</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心理挂图</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心理挂图中的图片所包含内容有心理制度、心理学家、不可能图形、两歧图形、错觉图形、心理趣味图和主题统觉图片以及励志，积极向上等图片。</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材质: 高清相纸；装裱方式: 金属边框。尺寸: ≥450mm×560mm。</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幅</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rPr>
            </w:pPr>
            <w:r>
              <w:rPr>
                <w:rFonts w:hint="eastAsia" w:ascii="宋体" w:hAnsi="宋体" w:eastAsia="宋体" w:cs="宋体"/>
                <w:i w:val="0"/>
                <w:color w:val="auto"/>
                <w:kern w:val="0"/>
                <w:sz w:val="18"/>
                <w:szCs w:val="18"/>
                <w:highlight w:val="none"/>
                <w:u w:val="none"/>
                <w:lang w:val="en-US" w:eastAsia="zh-CN" w:bidi="ar-SA"/>
              </w:rPr>
              <w:t>12</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8"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14</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沙盘</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 xml:space="preserve">一、1个个体实木心理沙盘，使用尺寸：≥长 720mm×宽 570mm×深70mm，边框厚度≥15mm，沙盘含架子整体高度≥750mm。专用三底两面环保漆；内侧底与边框、底部为蓝色，外部为实木色，表面光滑不伤手、防水、耐磨不掉色。      </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 xml:space="preserve">二、2个实木沙具柜，沙具柜规格：≥1500mm×300mm×980mm，柜体采用5层8阶设计，既美观又便于分类摆放选取沙具。      </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三、600个沙具种类：18 大类（宗教类、风车、灯塔等标志类、公共标识类、交通工具类、公共建筑类、桥栅栏类、日月等自然物类、贝壳山石类、现实中人物类、空想人物类虚拟人物、恐龙怪兽类、家具、日用品类、水生动物、野生动物类、家禽家畜类、草坪类、植物类、军队类）。</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四、沙盘游戏书籍1本。</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 xml:space="preserve">五、精选原色水洗砂20公斤，颗粒光滑、大小均匀、高温消毒 。       </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六、沙具选取框1套 （沙具选取框2个，清理刷2个）。</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七、心理游戏管理系统1套：</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1、可分类对沙盘训练析图片、视频以及文字资料进行管理。可以进行连续性对比观察分析。</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2、来访者信息管理：用于添加来访者的个人信息，可批量导入；</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3、沙游信息管理：可对用户资料，沙盘信息进行编辑及删除操作；</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4、管理沙盘信息：可对沙盘游戏记录进行查看、修改和删除的操作；</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5、系统内置沙具意向词典详细解析，可自行添加，修改，删除。</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20"/>
                <w:szCs w:val="20"/>
                <w:highlight w:val="none"/>
                <w:u w:val="none"/>
              </w:rPr>
            </w:pP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20"/>
                <w:szCs w:val="20"/>
                <w:highlight w:val="none"/>
                <w:u w:val="none"/>
              </w:rPr>
            </w:pPr>
            <w:r>
              <w:rPr>
                <w:rFonts w:hint="eastAsia" w:ascii="宋体" w:hAnsi="宋体" w:eastAsia="宋体" w:cs="宋体"/>
                <w:b/>
                <w:i w:val="0"/>
                <w:color w:val="auto"/>
                <w:kern w:val="0"/>
                <w:sz w:val="20"/>
                <w:szCs w:val="20"/>
                <w:highlight w:val="none"/>
                <w:u w:val="none"/>
                <w:lang w:val="en-US" w:eastAsia="zh-CN" w:bidi="ar-SA"/>
              </w:rPr>
              <w:t>宣泄室</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shd w:val="clear"/>
              <w:rPr>
                <w:rFonts w:hint="eastAsia" w:ascii="宋体" w:hAnsi="宋体" w:eastAsia="宋体" w:cs="宋体"/>
                <w:i w:val="0"/>
                <w:color w:val="auto"/>
                <w:sz w:val="20"/>
                <w:szCs w:val="20"/>
                <w:highlight w:val="none"/>
                <w:u w:val="none"/>
              </w:rPr>
            </w:pP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45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0"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15</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宣泄套装</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left"/>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1、165cm硅胶宣泄人1个, 底座尺寸约：直径60cm,高度55cm（真人发声设计）</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2、立式释压球1个（立式不倒，外层高级仿皮材料，高度可调节。）</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 xml:space="preserve">3、摔打型释压球4个（橡胶）         </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4、释压手套2对(可有效的缓冲打击时的撞击，采用了轻型耐用材料)</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 xml:space="preserve">5、释压挂图4张（高清晰画质、永不退色,）           </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 xml:space="preserve">6、宣泄室制度1张（高清晰画质、永不退色,） </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 xml:space="preserve">7、释压脸谱4张  (布艺丝印，经久耐用）         </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8、毛绒宣泄棒2个（卡通造型，高级pp棉填充）</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9、充气释压棒2根，长80cm，锥型，充气使用，内胆防水材质，外套蓝色保护套</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10、涂鸦墙1张（90*120cm，无毒环保，赠送涂鸦笔2支，涂鸦板擦1个）</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11、惨叫鸡1个（高32cm，重约120g，采用安全无毒健康环保搪胶材质）</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12、宣泄壶1个（高度为18.5cm，最大直径13cm，净重210g，ABS树脂材料）</w:t>
            </w:r>
            <w:r>
              <w:rPr>
                <w:rFonts w:hint="eastAsia" w:ascii="宋体" w:hAnsi="宋体" w:eastAsia="宋体" w:cs="宋体"/>
                <w:i w:val="0"/>
                <w:color w:val="auto"/>
                <w:kern w:val="0"/>
                <w:sz w:val="18"/>
                <w:szCs w:val="18"/>
                <w:highlight w:val="none"/>
                <w:u w:val="none"/>
                <w:lang w:val="en-US" w:eastAsia="zh-CN" w:bidi="ar-SA"/>
              </w:rPr>
              <w:br w:type="textWrapping"/>
            </w:r>
            <w:r>
              <w:rPr>
                <w:rFonts w:hint="eastAsia" w:ascii="宋体" w:hAnsi="宋体" w:eastAsia="宋体" w:cs="宋体"/>
                <w:i w:val="0"/>
                <w:color w:val="auto"/>
                <w:kern w:val="0"/>
                <w:sz w:val="18"/>
                <w:szCs w:val="18"/>
                <w:highlight w:val="none"/>
                <w:u w:val="none"/>
                <w:lang w:val="en-US" w:eastAsia="zh-CN" w:bidi="ar-SA"/>
              </w:rPr>
              <w:t>13、宣泄抱枕1个(45*45cm，pp棉填充）</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16</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宣泄挂图</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20"/>
                <w:szCs w:val="20"/>
                <w:highlight w:val="none"/>
                <w:u w:val="none"/>
              </w:rPr>
            </w:pPr>
            <w:r>
              <w:rPr>
                <w:rFonts w:hint="eastAsia" w:ascii="宋体" w:hAnsi="宋体" w:eastAsia="宋体" w:cs="宋体"/>
                <w:i w:val="0"/>
                <w:color w:val="auto"/>
                <w:kern w:val="0"/>
                <w:sz w:val="20"/>
                <w:szCs w:val="20"/>
                <w:highlight w:val="none"/>
                <w:u w:val="none"/>
                <w:lang w:val="en-US" w:eastAsia="zh-CN" w:bidi="ar-SA"/>
              </w:rPr>
              <w:t>心理挂图中的图片所包含内容有心理制度、心理学家、不可能图形、两歧图形、错觉图形、心理趣味图和主题统觉图片以及励志，积极向上等图片。</w:t>
            </w:r>
            <w:r>
              <w:rPr>
                <w:rFonts w:hint="eastAsia" w:ascii="宋体" w:hAnsi="宋体" w:eastAsia="宋体" w:cs="宋体"/>
                <w:i w:val="0"/>
                <w:color w:val="auto"/>
                <w:kern w:val="0"/>
                <w:sz w:val="20"/>
                <w:szCs w:val="20"/>
                <w:highlight w:val="none"/>
                <w:u w:val="none"/>
                <w:lang w:val="en-US" w:eastAsia="zh-CN" w:bidi="ar-SA"/>
              </w:rPr>
              <w:br w:type="textWrapping"/>
            </w:r>
            <w:r>
              <w:rPr>
                <w:rFonts w:hint="eastAsia" w:ascii="宋体" w:hAnsi="宋体" w:eastAsia="宋体" w:cs="宋体"/>
                <w:i w:val="0"/>
                <w:color w:val="auto"/>
                <w:kern w:val="0"/>
                <w:sz w:val="20"/>
                <w:szCs w:val="20"/>
                <w:highlight w:val="none"/>
                <w:u w:val="none"/>
                <w:lang w:val="en-US" w:eastAsia="zh-CN" w:bidi="ar-SA"/>
              </w:rPr>
              <w:t>材质: 高清相纸；装裱方式: 金属边框。尺寸: ≥450mm×560mm。</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幅</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rPr>
            </w:pPr>
            <w:r>
              <w:rPr>
                <w:rFonts w:hint="eastAsia" w:ascii="宋体" w:hAnsi="宋体" w:eastAsia="宋体" w:cs="宋体"/>
                <w:i w:val="0"/>
                <w:color w:val="auto"/>
                <w:kern w:val="0"/>
                <w:sz w:val="18"/>
                <w:szCs w:val="18"/>
                <w:highlight w:val="none"/>
                <w:u w:val="none"/>
                <w:lang w:val="en-US" w:eastAsia="zh-CN" w:bidi="ar-SA"/>
              </w:rPr>
              <w:t>12</w:t>
            </w:r>
          </w:p>
        </w:tc>
        <w:tc>
          <w:tcPr>
            <w:tcW w:w="450" w:type="dxa"/>
            <w:vMerge w:val="continue"/>
            <w:tcBorders>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6" w:hRule="atLeast"/>
          <w:jc w:val="center"/>
        </w:trPr>
        <w:tc>
          <w:tcPr>
            <w:tcW w:w="1590" w:type="dxa"/>
            <w:gridSpan w:val="2"/>
            <w:noWrap w:val="0"/>
            <w:vAlign w:val="center"/>
          </w:tcPr>
          <w:p>
            <w:pPr>
              <w:shd w:val="clear"/>
              <w:jc w:val="center"/>
              <w:rPr>
                <w:rFonts w:hint="eastAsia" w:ascii="宋体" w:hAnsi="宋体" w:eastAsia="宋体" w:cs="宋体"/>
                <w:b/>
                <w:i w:val="0"/>
                <w:color w:val="auto"/>
                <w:sz w:val="28"/>
                <w:szCs w:val="28"/>
                <w:highlight w:val="none"/>
                <w:u w:val="none"/>
              </w:rPr>
            </w:pPr>
          </w:p>
        </w:tc>
        <w:tc>
          <w:tcPr>
            <w:tcW w:w="6510" w:type="dxa"/>
            <w:noWrap w:val="0"/>
            <w:vAlign w:val="center"/>
          </w:tcPr>
          <w:p>
            <w:pPr>
              <w:shd w:val="clear"/>
              <w:rPr>
                <w:rFonts w:hint="eastAsia" w:ascii="宋体" w:hAnsi="宋体" w:eastAsia="宋体" w:cs="宋体"/>
                <w:i w:val="0"/>
                <w:color w:val="auto"/>
                <w:sz w:val="22"/>
                <w:szCs w:val="22"/>
                <w:highlight w:val="none"/>
                <w:u w:val="none"/>
              </w:rPr>
            </w:pPr>
          </w:p>
        </w:tc>
        <w:tc>
          <w:tcPr>
            <w:tcW w:w="373" w:type="dxa"/>
            <w:noWrap w:val="0"/>
            <w:vAlign w:val="center"/>
          </w:tcPr>
          <w:p>
            <w:pPr>
              <w:shd w:val="clear"/>
              <w:rPr>
                <w:rFonts w:hint="eastAsia" w:ascii="宋体" w:hAnsi="宋体" w:eastAsia="宋体" w:cs="宋体"/>
                <w:i w:val="0"/>
                <w:color w:val="auto"/>
                <w:sz w:val="22"/>
                <w:szCs w:val="22"/>
                <w:highlight w:val="none"/>
                <w:u w:val="none"/>
              </w:rPr>
            </w:pPr>
          </w:p>
        </w:tc>
        <w:tc>
          <w:tcPr>
            <w:tcW w:w="377" w:type="dxa"/>
            <w:noWrap w:val="0"/>
            <w:vAlign w:val="center"/>
          </w:tcPr>
          <w:p>
            <w:pPr>
              <w:shd w:val="clear"/>
              <w:rPr>
                <w:rFonts w:hint="eastAsia" w:ascii="宋体" w:hAnsi="宋体" w:eastAsia="宋体" w:cs="宋体"/>
                <w:i w:val="0"/>
                <w:color w:val="auto"/>
                <w:sz w:val="22"/>
                <w:szCs w:val="22"/>
                <w:highlight w:val="none"/>
                <w:u w:val="none"/>
              </w:rPr>
            </w:pPr>
          </w:p>
        </w:tc>
        <w:tc>
          <w:tcPr>
            <w:tcW w:w="450" w:type="dxa"/>
            <w:noWrap w:val="0"/>
            <w:vAlign w:val="center"/>
          </w:tcPr>
          <w:p>
            <w:pPr>
              <w:shd w:val="clear"/>
              <w:rPr>
                <w:rFonts w:hint="eastAsia" w:ascii="宋体" w:hAnsi="宋体" w:eastAsia="宋体" w:cs="宋体"/>
                <w:i w:val="0"/>
                <w:color w:val="auto"/>
                <w:sz w:val="22"/>
                <w:szCs w:val="22"/>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9300" w:type="dxa"/>
            <w:gridSpan w:val="6"/>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Style w:val="9"/>
                <w:b/>
                <w:bCs/>
                <w:color w:val="auto"/>
                <w:sz w:val="18"/>
                <w:szCs w:val="18"/>
                <w:highlight w:val="none"/>
                <w:lang w:val="en-US" w:eastAsia="zh-CN" w:bidi="ar-SA"/>
              </w:rPr>
            </w:pPr>
            <w:r>
              <w:rPr>
                <w:rStyle w:val="9"/>
                <w:b/>
                <w:bCs/>
                <w:color w:val="auto"/>
                <w:sz w:val="18"/>
                <w:szCs w:val="18"/>
                <w:highlight w:val="none"/>
                <w:lang w:val="en-US" w:eastAsia="zh-CN" w:bidi="ar-SA"/>
              </w:rPr>
              <w:t xml:space="preserve">劳技综合实践教室     </w:t>
            </w:r>
            <w:r>
              <w:rPr>
                <w:rStyle w:val="10"/>
                <w:b/>
                <w:bCs/>
                <w:color w:val="auto"/>
                <w:sz w:val="18"/>
                <w:szCs w:val="18"/>
                <w:highlight w:val="none"/>
                <w:lang w:val="en-US" w:eastAsia="zh-CN" w:bidi="ar-SA"/>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序号</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标的名称</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主要技术参数、性能、配置等要求</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lang w:val="en-US" w:eastAsia="zh-CN"/>
              </w:rPr>
            </w:pPr>
            <w:r>
              <w:rPr>
                <w:rFonts w:hint="eastAsia" w:ascii="宋体" w:hAnsi="宋体" w:eastAsia="宋体" w:cs="宋体"/>
                <w:b/>
                <w:i w:val="0"/>
                <w:color w:val="auto"/>
                <w:sz w:val="18"/>
                <w:szCs w:val="18"/>
                <w:highlight w:val="none"/>
                <w:u w:val="none"/>
                <w:lang w:val="en-US" w:eastAsia="zh-CN"/>
              </w:rPr>
              <w:t>单位</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lang w:val="en-US" w:eastAsia="zh-CN"/>
              </w:rPr>
            </w:pPr>
            <w:r>
              <w:rPr>
                <w:rFonts w:hint="eastAsia" w:ascii="宋体" w:hAnsi="宋体" w:eastAsia="宋体" w:cs="宋体"/>
                <w:b/>
                <w:i w:val="0"/>
                <w:color w:val="auto"/>
                <w:sz w:val="18"/>
                <w:szCs w:val="18"/>
                <w:highlight w:val="none"/>
                <w:u w:val="none"/>
                <w:lang w:val="en-US" w:eastAsia="zh-CN"/>
              </w:rPr>
              <w:t>数量</w:t>
            </w: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b/>
                <w:i w:val="0"/>
                <w:color w:val="auto"/>
                <w:kern w:val="0"/>
                <w:sz w:val="18"/>
                <w:szCs w:val="18"/>
                <w:highlight w:val="none"/>
                <w:u w:val="none"/>
                <w:lang w:val="en-US" w:eastAsia="zh-CN" w:bidi="ar-SA"/>
              </w:rPr>
            </w:pPr>
            <w:r>
              <w:rPr>
                <w:rFonts w:hint="eastAsia" w:ascii="宋体" w:hAnsi="宋体" w:eastAsia="宋体" w:cs="宋体"/>
                <w:b/>
                <w:i w:val="0"/>
                <w:color w:val="auto"/>
                <w:kern w:val="0"/>
                <w:sz w:val="18"/>
                <w:szCs w:val="18"/>
                <w:highlight w:val="none"/>
                <w:u w:val="none"/>
                <w:lang w:val="en-US" w:eastAsia="zh-CN" w:bidi="ar-SA"/>
              </w:rPr>
              <w:t>所属行业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一</w:t>
            </w:r>
          </w:p>
        </w:tc>
        <w:tc>
          <w:tcPr>
            <w:tcW w:w="770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木工—设计与制作</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450"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木工工具</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钢卷尺 5m钢卷尺，工程塑料外壳抗摔，刻度清晰，木工凿 14mm，塑柄，通体穿心，耐敲击，凿螺丝刀 4寸十字，6*100mm，双色防滑按摩手柄，带磁性螺丝刀 4寸一字，6*100mm，双色防滑按摩手柄，带磁性水平尺 鱼雷式，可以测量45 90 180度木工锉 8寸，半圆形，带防滑胶柄剪刀 多用途剪刀，勾刀 用于切割有机玻璃板、薄形木板等，带2片备用刀片钢丝钳 6寸，150mm，双色柄，美工刀 18*100mm通用美工刀，G形木工夹 加厚钢板，不断裂，直角尺 150*250mm，不锈钢尺板，90度角度油石 6寸，粗细双面油石，折叠锯 三面开刃，锯片采用SK5材质，羊角锤 250g，钢管柄，手柄套胶套，木工刨 100mm迷你型刨子，硬木刨床，合金钢刨刀，木工铅笔 8寸200mm，木工专用，黑色鸟刨 全钢型鸟刨，墨斗 全封闭式手卷墨斗，加长墨线，工具箱 45*35*9.5cm中空吹塑工具箱，实现本套工具的定点定位存放</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restart"/>
            <w:tcBorders>
              <w:top w:val="single" w:color="000000" w:sz="4" w:space="0"/>
              <w:left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kern w:val="0"/>
                <w:sz w:val="18"/>
                <w:szCs w:val="18"/>
                <w:highlight w:val="none"/>
                <w:u w:val="none"/>
                <w:lang w:val="en-US" w:eastAsia="zh-CN" w:bidi="ar-SA"/>
              </w:rPr>
            </w:pPr>
            <w:r>
              <w:rPr>
                <w:rFonts w:hint="eastAsia" w:ascii="宋体" w:hAnsi="宋体" w:eastAsia="宋体" w:cs="宋体"/>
                <w:i w:val="0"/>
                <w:color w:val="auto"/>
                <w:kern w:val="0"/>
                <w:sz w:val="18"/>
                <w:szCs w:val="18"/>
                <w:highlight w:val="none"/>
                <w:u w:val="none"/>
                <w:lang w:val="en-US" w:eastAsia="zh-CN" w:bidi="ar-SA"/>
              </w:rPr>
              <w:t>工业</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手摇钻</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1/4英寸，可夹持0-6.5mm，全钢型，手柄一体精密铸造，双齿轮驱动驱动，带钥匙精密三爪钻夹头，手柄ABS材质，柄盖可以旋下，内装3、4、5mm木工专用三尖钻头各1支</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个</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3</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木工材料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1、采用盒装，材料盒尺寸：295mm*195mm*60mm，塑料材质。2、塑料盒内包含：三合板28块，尺寸：90mm*90mm，木块28块，尺寸：130mm*25mm*10mm</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二</w:t>
            </w:r>
          </w:p>
        </w:tc>
        <w:tc>
          <w:tcPr>
            <w:tcW w:w="770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金工—设计与制作</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45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金工工具</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两用板手 8.10.12.14mm各1支，什锦锉 3*140mm，6件套什锦锉，钢锯弓 12寸，加厚锯架，双档可调节，含锯条1支，钢丝钳 6寸150mm，双色柄，钢卷尺 5m钢卷尺，活板手 8寸200mm，样冲 5寸尖头样冲，尖嘴钳 6寸，150mm，双色柄，螺丝刀 4寸十字，6*100mm，双色防滑手柄，带磁性螺丝刀 4寸一字，6*100mm，双色防滑手柄，带磁性螺丝刀 3寸十字，5*75mm，双色防滑手柄，带磁性螺丝刀 3寸一字，5*75mm，双色防滑手柄，带磁性平锉，8寸200mm，全长300mm，防滑胶柄，中齿，半圆锉，8寸200mm，全长300mm，防滑胶柄，中齿，圆锉，8寸200mm，全长300mm，防滑胶柄，中齿，三角锉，8寸200mm，全长300mm，防滑胶柄，中齿，三叉扳手8-10-12mm，高碳钢锻造，钢丝板手 钢制，铁皮剪 8寸，英式铁皮剪，钢丝刷 8寸，木柄，6行，钳工锤 300g，木柄，锤头采用优质高碳钢锻打，圆规 150mm，合金刀头，圆头锤 1磅，木柄，锤头采用优质高碳钢锻打，内六角 9件套，公制，1.5-10mm，钢直尺 30cm，不锈钢制，丝锥板牙 12件套盒装，工具箱 45*35*9.5cm中空吹塑工具箱，实现本套工具的定点定位存放，</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游标卡尺</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150mm</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把</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3</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金工材料</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100x150x3mm铁板1块，30x200x5mm扁铁1根，D12x200mm铁棒1支，D12x200mm黄铜棒1支，D20x200mm尼龙棒1支，D20x200mm铝棒1支，8支盒装（3-10mm）高速钢麻花钻头1套，24牙12寸钢锯条1盒（50根），3、4、5mm混装铆钉1袋，砂纸2张，38mm油漆刷1把，150ml防锈油1瓶,劳保手套1付，30x40cm擦机布2块。</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三</w:t>
            </w:r>
          </w:p>
        </w:tc>
        <w:tc>
          <w:tcPr>
            <w:tcW w:w="770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电工-电子技术</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45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电工工具箱</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5米钢卷尺 ，电工胶带，测电笔 氖泡式，美工刀，吸锡器，螺丝刀 4寸十 一字各1把，活扳手 8寸，羊角锤，清灰刷，钢丝钳 6寸，烙铁架 铸铁底座，斜嘴钳 6寸，电烙铁 外热式30W，数字万用表 数显式，尖嘴钳 6寸，电子批 6只装，螺丝刀 3*150mm十 一字各1把，螺丝刀 3寸十 一字各1把，剥线钳 6寸150mm，小手锯 6寸，焊锡丝 桶装，内六角 5支，工具箱 45*35*9.5cm中空吹塑工具箱，实现本套工具的定点定位存放，</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数字多用电表</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9205型，三位半式，全防烧，带过载保护，自动关机功能</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只</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3</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漏电保护器</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额定电压：220V 50Hz 漏电动作时间：＜0.1s，保护电流1A。</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只</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4</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电子制作套件</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DIY八音符电子琴套件；DIY圣诞树led闪灯套件；DIY台灯实验套件；DIY音乐门铃套件；DIY智能循迹小车套件,工具盒包装</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四</w:t>
            </w:r>
          </w:p>
        </w:tc>
        <w:tc>
          <w:tcPr>
            <w:tcW w:w="770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种植-技术</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45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种植套装</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 本套装主要由底座、水培盒、太阳能板、太阳能充放电IC电路、数字温度表、水位报警电路、LED补光照明电路、水培板、水培营养液、雨花石等组成。 ★2 底座主要材质为亚克力，规格≥310mm×140mm×183mm；底脚安装有5个橡胶垫。底座左侧电路控制盒，斜顶上部安装≥98mm×162mm的太阳能硅光板。★3 种植主盒体为一次性注塑成型，规格≥195mm×111mm×105mm；水培板为透明亚克力材料，规格≥186mm×103mm，面板上布有大小不一的直径分别为5mm、10mm、30mm的水培孔。★4 套装具有温度检测装置，将温度传感器的一段插在水培板上，并与种植盒内的水体接触，便可实时检测水的温度值。★5 套装具有水位检测装置，将水位传感器插在水培板上，并与种植盒内的水体接触，便可实时检测水位，一旦水位低于最高监测点，便自动报警。★6套装具有夜间延时补光照明，当电路控制盒内的光敏传感器检测到光照不足，右侧的两颗LED灯便自动点亮，点亮时间由电路自动控制。★7套装具有太阳能自动充电功能，只要太阳能电池板接受光照，便自动给电路控制盒内的电池进行充电。</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付</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无土栽培盆</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无土栽培盆尺寸：38.5*27*14cm，内涵产品：（1）、定植孔12个（2）、定植篮12个（3）、定植棉12个，（4）、吸水布1张（4）、营养液2瓶，（5）、蔬菜种子2包，（7）、气泵及控制器1套，低压直流电源水泵12V，2、无土栽培盆材质：塑质，经济型箱式、偏于携带储存</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个</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3</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育种育苗箱</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育种育苗箱：育苗三件套包括20孔穴盆、透明盖、底部托盘，育苗盘：口径长370*宽300*高75mm，底径330*260mm；接水盘：尺寸长351*宽280*高17mm，可内置20个彩色育苗杯口径70mm高80mm.材质：PVC 保温保湿 透光规格：539*340*70mm、 育种育苗箱塑制有渗水功能。</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4</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多肉种植盆</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7*8小方20孔托架配套接水盘，配套20个口径7*7种植盆，尺寸370mm*300mm*5.5mm</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个</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五</w:t>
            </w:r>
          </w:p>
        </w:tc>
        <w:tc>
          <w:tcPr>
            <w:tcW w:w="770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手工-雕刻制作</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45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雕刻工具</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印床1件、石刻刀2支、木刻刀5支、绘图铅笔1支、扫尘刷1件、多用锤1把、铝合金笔刀1把、笔刀刀片3件、美工刀1把、印泥盒1件、印尼1份、砂纸5块、印模转印贴8个</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木雕刻刀套装</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规格：10支装，手柄材质：榉木，1支平刀宽6.5mm，1支平圆头刀宽6.5mm，1支斜刀7mm，1支尖角刀5mm（斜边长），3支圆刀7mm（弧边长） 圆刀5mm（弧边长） 圆刀4mm（弧边长），3支角刀3.5mm（斜边长）2.5mm（斜边长）2mm（斜边长）</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3</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DIY发簪半成品</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材质：檀木</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rPr>
            </w:pPr>
            <w:r>
              <w:rPr>
                <w:rFonts w:hint="eastAsia" w:ascii="宋体" w:hAnsi="宋体" w:eastAsia="宋体" w:cs="宋体"/>
                <w:i w:val="0"/>
                <w:color w:val="auto"/>
                <w:kern w:val="0"/>
                <w:sz w:val="18"/>
                <w:szCs w:val="18"/>
                <w:highlight w:val="none"/>
                <w:u w:val="none"/>
                <w:lang w:val="en-US" w:eastAsia="zh-CN" w:bidi="ar-SA"/>
              </w:rPr>
              <w:t>支</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120</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b/>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六</w:t>
            </w:r>
          </w:p>
        </w:tc>
        <w:tc>
          <w:tcPr>
            <w:tcW w:w="7708" w:type="dxa"/>
            <w:gridSpan w:val="2"/>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r>
              <w:rPr>
                <w:rFonts w:hint="eastAsia" w:ascii="宋体" w:hAnsi="宋体" w:eastAsia="宋体" w:cs="宋体"/>
                <w:b/>
                <w:i w:val="0"/>
                <w:color w:val="auto"/>
                <w:kern w:val="0"/>
                <w:sz w:val="18"/>
                <w:szCs w:val="18"/>
                <w:highlight w:val="none"/>
                <w:u w:val="none"/>
                <w:lang w:val="en-US" w:eastAsia="zh-CN" w:bidi="ar-SA"/>
              </w:rPr>
              <w:t>手工-工艺制作</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c>
          <w:tcPr>
            <w:tcW w:w="450" w:type="dxa"/>
            <w:vMerge w:val="continue"/>
            <w:tcBorders>
              <w:left w:val="single" w:color="000000" w:sz="4" w:space="0"/>
              <w:right w:val="single" w:color="000000" w:sz="4" w:space="0"/>
            </w:tcBorders>
            <w:noWrap w:val="0"/>
            <w:vAlign w:val="center"/>
          </w:tcPr>
          <w:p>
            <w:pPr>
              <w:shd w:val="clear"/>
              <w:jc w:val="center"/>
              <w:rPr>
                <w:rFonts w:hint="eastAsia" w:ascii="宋体" w:hAnsi="宋体" w:eastAsia="宋体" w:cs="宋体"/>
                <w:i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手工制作工具</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专用配套工具10件以上，工具包括：钢质剪刀1把；钢质直尺1把；钢质镊子1把；钢质12mm美工刀1把；2mm皮尺1条；钢质顶针1个；缝纫线线圈1个；大小规格各一钢针1盒；竹质毛衣针1副；钢质绣花针1盒；手持式缝纫机1个。</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2</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发夹diy材料包</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2.5cm宽印刷带2条（1米长），2.5cm宽纯色彩带6条（1米），细丝带3条（1米），装饰配件12个，头皮筋10根，BB夹4个、平夹8个、棉线1个，双面胶1卷，胶棒1根，塑料盒包装</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3</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手工制作饰品材料包</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白乳胶1个，砂纸1张，打磨条1根，马芬杯1个、抛光砖1个、搅拌棒5根、塑料滴管5根，50ml量杯2个、弯头镊子1个、手指套10个、卸甲巾1盒、色精1瓶、叶脉干花10片、100g硬胶1份、闪粉粉色1瓶、闪粉紫色1瓶、闪粉蓝色1瓶、混彩五角星1瓶、钩扣2个、实心爱心1瓶、羊眼钉20个、开口全20个、蓝色龙虾扣绳5个、爱心模具1个、手镯模具1个，戒指模具1个，塑料盒包装</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4</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脸谱制作套装箱</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含1.面具白胚30个，种类不少于10种，材质纯白纸浆。2.水粉笔一套（6支）。3.中号毛笔1支。4.勾边笔1支。5.12色水粉1盒，调色盘1个。</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5</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手工DIY制作套装1</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卡纸不同色（19.5*27cm）；卡纸；40克白胶；手工镊子；1.5cm海绵压花贴纸；6*7cm彩色贴纸；5*11cm彩纸多色；13cm彩色纸10色；13色单面彩色纸6cm；花纹剪刀；彩色闪光笔；1cm双面胶；6个颜色金葱毛条；7mm卡通眼睛；彩色金葱胶；彩色胶带；3mm金银葱带；手摇压力机；</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6</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手工DIY制作套装2</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2#酒精胶；切片；水消笔芯；胸针；平口夹；剪刀；金尾针；10色线；填充棉；缎带；发圈；软尺；扣子；钥匙圈；手机绳；拉链；子母贴；拆线器；顶针；珠针；裁纸刀；糖果珠；15*15cm不织布。</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7</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手工DIY制作套装3</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3#凹凸球形，曲规器，卷纸笔，锥子，镊子，瓦楞器， 缠绕器，胶水，玻璃片，万用尺，大头针，贴钻，说明页，小吊卡，线稿图300克厚，1*39的12色，0.5*39厘米24色，0.5*54厘米24色，05*39厘米36色。</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15</w:t>
            </w:r>
          </w:p>
        </w:tc>
        <w:tc>
          <w:tcPr>
            <w:tcW w:w="450" w:type="dxa"/>
            <w:vMerge w:val="continue"/>
            <w:tcBorders>
              <w:left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0" w:type="auto"/>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8</w:t>
            </w:r>
          </w:p>
        </w:tc>
        <w:tc>
          <w:tcPr>
            <w:tcW w:w="1198"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时尚包装</w:t>
            </w:r>
          </w:p>
        </w:tc>
        <w:tc>
          <w:tcPr>
            <w:tcW w:w="6510"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剪刀、尺子、美工刀、订书机、订书针、打孔机、固体胶、双面胶带、透明胶带、铅笔、条纹包装纸1包、花纹包装纸1包、3色绸带各1卷、玻璃纸1包、皱纹包装纸1包、3色彩带1卷、花边剪。</w:t>
            </w:r>
          </w:p>
        </w:tc>
        <w:tc>
          <w:tcPr>
            <w:tcW w:w="373"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sz w:val="18"/>
                <w:szCs w:val="18"/>
                <w:highlight w:val="none"/>
                <w:u w:val="none"/>
              </w:rPr>
            </w:pPr>
            <w:r>
              <w:rPr>
                <w:rFonts w:hint="eastAsia" w:ascii="宋体" w:hAnsi="宋体" w:eastAsia="宋体" w:cs="宋体"/>
                <w:i w:val="0"/>
                <w:color w:val="auto"/>
                <w:kern w:val="0"/>
                <w:sz w:val="18"/>
                <w:szCs w:val="18"/>
                <w:highlight w:val="none"/>
                <w:u w:val="none"/>
                <w:lang w:val="en-US" w:eastAsia="zh-CN" w:bidi="ar-SA"/>
              </w:rPr>
              <w:t>套</w:t>
            </w:r>
          </w:p>
        </w:tc>
        <w:tc>
          <w:tcPr>
            <w:tcW w:w="377" w:type="dxa"/>
            <w:tcBorders>
              <w:top w:val="single" w:color="000000" w:sz="4" w:space="0"/>
              <w:left w:val="single" w:color="000000" w:sz="4" w:space="0"/>
              <w:bottom w:val="single" w:color="000000" w:sz="4" w:space="0"/>
              <w:right w:val="single" w:color="000000" w:sz="4" w:space="0"/>
            </w:tcBorders>
            <w:noWrap w:val="0"/>
            <w:vAlign w:val="center"/>
          </w:tcPr>
          <w:p>
            <w:pPr>
              <w:widowControl/>
              <w:shd w:val="clear"/>
              <w:jc w:val="center"/>
              <w:textAlignment w:val="center"/>
              <w:rPr>
                <w:rFonts w:hint="default" w:ascii="宋体" w:hAnsi="宋体" w:eastAsia="宋体" w:cs="宋体"/>
                <w:i w:val="0"/>
                <w:color w:val="auto"/>
                <w:sz w:val="18"/>
                <w:szCs w:val="18"/>
                <w:highlight w:val="none"/>
                <w:u w:val="none"/>
                <w:lang w:val="en-US" w:eastAsia="zh-CN"/>
              </w:rPr>
            </w:pPr>
            <w:r>
              <w:rPr>
                <w:rFonts w:hint="eastAsia" w:ascii="宋体" w:hAnsi="宋体" w:eastAsia="宋体" w:cs="宋体"/>
                <w:i w:val="0"/>
                <w:color w:val="auto"/>
                <w:sz w:val="18"/>
                <w:szCs w:val="18"/>
                <w:highlight w:val="none"/>
                <w:u w:val="none"/>
                <w:lang w:val="en-US" w:eastAsia="zh-CN"/>
              </w:rPr>
              <w:t>15</w:t>
            </w:r>
          </w:p>
        </w:tc>
        <w:tc>
          <w:tcPr>
            <w:tcW w:w="450" w:type="dxa"/>
            <w:vMerge w:val="continue"/>
            <w:tcBorders>
              <w:left w:val="single" w:color="000000" w:sz="4" w:space="0"/>
              <w:bottom w:val="single" w:color="000000" w:sz="4" w:space="0"/>
              <w:right w:val="single" w:color="000000" w:sz="4" w:space="0"/>
            </w:tcBorders>
            <w:noWrap w:val="0"/>
            <w:vAlign w:val="center"/>
          </w:tcPr>
          <w:p>
            <w:pPr>
              <w:widowControl/>
              <w:shd w:val="clear"/>
              <w:jc w:val="center"/>
              <w:textAlignment w:val="center"/>
              <w:rPr>
                <w:rFonts w:hint="eastAsia" w:ascii="宋体" w:hAnsi="宋体" w:eastAsia="宋体" w:cs="宋体"/>
                <w:i w:val="0"/>
                <w:color w:val="auto"/>
                <w:kern w:val="0"/>
                <w:sz w:val="18"/>
                <w:szCs w:val="18"/>
                <w:highlight w:val="none"/>
                <w:u w:val="none"/>
                <w:lang w:val="en-US" w:eastAsia="zh-CN" w:bidi="ar-SA"/>
              </w:rPr>
            </w:pPr>
          </w:p>
        </w:tc>
      </w:tr>
    </w:tbl>
    <w:p>
      <w:pPr>
        <w:pStyle w:val="2"/>
        <w:shd w:val="clear"/>
        <w:ind w:left="0" w:leftChars="0" w:firstLine="0" w:firstLineChars="0"/>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五、需要落实的政府采购政策</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（一）</w:t>
      </w:r>
      <w:r>
        <w:rPr>
          <w:rFonts w:hint="eastAsia" w:ascii="宋体" w:hAnsi="宋体"/>
          <w:b/>
          <w:bCs/>
          <w:color w:val="auto"/>
          <w:sz w:val="21"/>
          <w:szCs w:val="21"/>
          <w:highlight w:val="none"/>
        </w:rPr>
        <w:t>促进中小企业、监狱企业和残疾人福利性单位发展扶持政策</w:t>
      </w:r>
    </w:p>
    <w:p>
      <w:pPr>
        <w:keepNext w:val="0"/>
        <w:keepLines w:val="0"/>
        <w:pageBreakBefore w:val="0"/>
        <w:widowControl w:val="0"/>
        <w:shd w:val="clear"/>
        <w:kinsoku/>
        <w:wordWrap/>
        <w:overflowPunct/>
        <w:topLinePunct w:val="0"/>
        <w:autoSpaceDE/>
        <w:autoSpaceDN/>
        <w:bidi w:val="0"/>
        <w:adjustRightInd/>
        <w:snapToGrid/>
        <w:spacing w:line="400" w:lineRule="exact"/>
        <w:textAlignment w:val="auto"/>
        <w:rPr>
          <w:rFonts w:hint="eastAsia" w:ascii="宋体" w:hAnsi="宋体"/>
          <w:bCs/>
          <w:color w:val="auto"/>
          <w:sz w:val="21"/>
          <w:szCs w:val="21"/>
          <w:highlight w:val="none"/>
        </w:rPr>
      </w:pPr>
      <w:r>
        <w:rPr>
          <w:rFonts w:hint="eastAsia" w:ascii="宋体" w:hAnsi="宋体"/>
          <w:b/>
          <w:bCs/>
          <w:color w:val="auto"/>
          <w:sz w:val="21"/>
          <w:szCs w:val="21"/>
          <w:highlight w:val="none"/>
        </w:rPr>
        <w:t>促进中小企业发展扶持政策</w:t>
      </w:r>
      <w:r>
        <w:rPr>
          <w:rFonts w:hint="eastAsia" w:ascii="宋体" w:hAnsi="宋体"/>
          <w:bCs/>
          <w:color w:val="auto"/>
          <w:sz w:val="21"/>
          <w:szCs w:val="21"/>
          <w:highlight w:val="none"/>
        </w:rPr>
        <w:t>：</w:t>
      </w:r>
    </w:p>
    <w:p>
      <w:pPr>
        <w:numPr>
          <w:ilvl w:val="0"/>
          <w:numId w:val="0"/>
        </w:numPr>
        <w:shd w:val="clear"/>
        <w:spacing w:line="500" w:lineRule="exact"/>
        <w:ind w:firstLine="420" w:firstLineChars="200"/>
        <w:rPr>
          <w:rFonts w:hint="eastAsia" w:ascii="宋体" w:hAnsi="宋体"/>
          <w:b w:val="0"/>
          <w:bCs/>
          <w:color w:val="auto"/>
          <w:sz w:val="21"/>
          <w:szCs w:val="21"/>
          <w:highlight w:val="none"/>
        </w:rPr>
      </w:pPr>
      <w:r>
        <w:rPr>
          <w:rFonts w:hint="eastAsia" w:ascii="宋体" w:hAnsi="宋体"/>
          <w:b w:val="0"/>
          <w:bCs/>
          <w:color w:val="auto"/>
          <w:sz w:val="21"/>
          <w:szCs w:val="21"/>
          <w:highlight w:val="none"/>
          <w:lang w:val="en-US" w:eastAsia="zh-CN"/>
        </w:rPr>
        <w:t>1.</w:t>
      </w:r>
      <w:r>
        <w:rPr>
          <w:rFonts w:hint="eastAsia" w:ascii="宋体" w:hAnsi="宋体"/>
          <w:b w:val="0"/>
          <w:bCs/>
          <w:color w:val="auto"/>
          <w:sz w:val="21"/>
          <w:szCs w:val="21"/>
          <w:highlight w:val="none"/>
        </w:rPr>
        <w:t>中小企业认定：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lang w:val="en-US" w:eastAsia="zh-CN"/>
        </w:rPr>
        <w:t>符合中小企业划分标准的个体工商户，在政府采购活动中视同中小企业。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lang w:val="en-US" w:eastAsia="zh-CN"/>
        </w:rPr>
      </w:pPr>
      <w:r>
        <w:rPr>
          <w:rFonts w:hint="eastAsia" w:ascii="宋体" w:hAnsi="宋体"/>
          <w:bCs/>
          <w:color w:val="auto"/>
          <w:sz w:val="21"/>
          <w:szCs w:val="21"/>
          <w:highlight w:val="none"/>
        </w:rPr>
        <w:t>中小企业划分标准见《关于印发中小企业划型标准规定的通知》（工信部联企业〔2011〕300号）</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在货物采购项目中，货物由中小企业制造，即货物由中小企业生产且使用该中小企业商号或者注册商标</w:t>
      </w:r>
      <w:r>
        <w:rPr>
          <w:rFonts w:hint="eastAsia" w:ascii="宋体" w:hAnsi="宋体"/>
          <w:bCs/>
          <w:color w:val="auto"/>
          <w:sz w:val="21"/>
          <w:szCs w:val="21"/>
          <w:highlight w:val="none"/>
          <w:lang w:eastAsia="zh-CN"/>
        </w:rPr>
        <w:t>；</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在工程采购项目中，工程由中小企业承建，即工程施工单位为中小企业；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（4）</w:t>
      </w:r>
      <w:r>
        <w:rPr>
          <w:rFonts w:hint="eastAsia" w:ascii="宋体" w:hAnsi="宋体"/>
          <w:bCs/>
          <w:color w:val="auto"/>
          <w:sz w:val="21"/>
          <w:szCs w:val="21"/>
          <w:highlight w:val="none"/>
        </w:rPr>
        <w:t>在服务采购项目中，服务由中小企业承接，即提供服务的人员为中小企业依照《中华人民共和国</w:t>
      </w:r>
      <w:r>
        <w:rPr>
          <w:rFonts w:hint="eastAsia" w:ascii="宋体" w:hAnsi="宋体"/>
          <w:bCs/>
          <w:color w:val="auto"/>
          <w:sz w:val="21"/>
          <w:szCs w:val="21"/>
          <w:highlight w:val="none"/>
          <w:lang w:val="en-US" w:eastAsia="zh-CN"/>
        </w:rPr>
        <w:t>民</w:t>
      </w:r>
      <w:r>
        <w:rPr>
          <w:rFonts w:hint="eastAsia" w:ascii="宋体" w:hAnsi="宋体"/>
          <w:bCs/>
          <w:color w:val="auto"/>
          <w:sz w:val="21"/>
          <w:szCs w:val="21"/>
          <w:highlight w:val="none"/>
        </w:rPr>
        <w:t>法</w:t>
      </w:r>
      <w:r>
        <w:rPr>
          <w:rFonts w:hint="eastAsia" w:ascii="宋体" w:hAnsi="宋体"/>
          <w:bCs/>
          <w:color w:val="auto"/>
          <w:sz w:val="21"/>
          <w:szCs w:val="21"/>
          <w:highlight w:val="none"/>
          <w:lang w:val="en-US" w:eastAsia="zh-CN"/>
        </w:rPr>
        <w:t>典</w:t>
      </w:r>
      <w:r>
        <w:rPr>
          <w:rFonts w:hint="eastAsia" w:ascii="宋体" w:hAnsi="宋体"/>
          <w:bCs/>
          <w:color w:val="auto"/>
          <w:sz w:val="21"/>
          <w:szCs w:val="21"/>
          <w:highlight w:val="none"/>
        </w:rPr>
        <w:t>》订立劳动合同的从业人员。</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在货物采购项目中，</w:t>
      </w:r>
      <w:r>
        <w:rPr>
          <w:rFonts w:hint="eastAsia" w:ascii="宋体" w:hAnsi="宋体"/>
          <w:bCs/>
          <w:color w:val="auto"/>
          <w:sz w:val="21"/>
          <w:szCs w:val="21"/>
          <w:highlight w:val="none"/>
          <w:lang w:eastAsia="zh-CN"/>
        </w:rPr>
        <w:t>投标人</w:t>
      </w:r>
      <w:r>
        <w:rPr>
          <w:rFonts w:hint="eastAsia" w:ascii="宋体" w:hAnsi="宋体"/>
          <w:bCs/>
          <w:color w:val="auto"/>
          <w:sz w:val="21"/>
          <w:szCs w:val="21"/>
          <w:highlight w:val="none"/>
        </w:rPr>
        <w:t>提供的货物既有中小企业制造货物，也有大型企业制造货物的，不享受本</w:t>
      </w:r>
      <w:r>
        <w:rPr>
          <w:rFonts w:hint="eastAsia" w:ascii="宋体" w:hAnsi="宋体"/>
          <w:bCs/>
          <w:color w:val="auto"/>
          <w:sz w:val="21"/>
          <w:szCs w:val="21"/>
          <w:highlight w:val="none"/>
          <w:lang w:eastAsia="zh-CN"/>
        </w:rPr>
        <w:t>招标文件</w:t>
      </w:r>
      <w:r>
        <w:rPr>
          <w:rFonts w:hint="eastAsia" w:ascii="宋体" w:hAnsi="宋体"/>
          <w:bCs/>
          <w:color w:val="auto"/>
          <w:sz w:val="21"/>
          <w:szCs w:val="21"/>
          <w:highlight w:val="none"/>
        </w:rPr>
        <w:t>规定的中小企业扶持政策。</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以联合体形式参加政府采购活动，联合体各方均为中小企业的，联合体视同中小企业。其中，联合体各方均为小微企业的，联合体视同小微企业。</w:t>
      </w:r>
    </w:p>
    <w:p>
      <w:pPr>
        <w:keepNext w:val="0"/>
        <w:keepLines w:val="0"/>
        <w:pageBreakBefore w:val="0"/>
        <w:widowControl w:val="0"/>
        <w:shd w:val="clear"/>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lang w:eastAsia="zh-CN"/>
        </w:rPr>
        <w:t>投标人当按照招标文件规定出具《</w:t>
      </w:r>
      <w:r>
        <w:rPr>
          <w:rFonts w:hint="eastAsia" w:ascii="宋体" w:hAnsi="宋体"/>
          <w:bCs/>
          <w:color w:val="auto"/>
          <w:sz w:val="21"/>
          <w:szCs w:val="21"/>
          <w:highlight w:val="none"/>
        </w:rPr>
        <w:t>中小企业声明函</w:t>
      </w:r>
      <w:r>
        <w:rPr>
          <w:rFonts w:hint="eastAsia" w:ascii="宋体" w:hAnsi="宋体"/>
          <w:bCs/>
          <w:color w:val="auto"/>
          <w:sz w:val="21"/>
          <w:szCs w:val="21"/>
          <w:highlight w:val="none"/>
          <w:lang w:eastAsia="zh-CN"/>
        </w:rPr>
        <w:t>》，否则不享受相关扶持政策</w:t>
      </w:r>
      <w:r>
        <w:rPr>
          <w:rFonts w:hint="eastAsia" w:ascii="宋体" w:hAnsi="宋体"/>
          <w:bCs/>
          <w:color w:val="auto"/>
          <w:sz w:val="21"/>
          <w:szCs w:val="21"/>
          <w:highlight w:val="none"/>
        </w:rPr>
        <w:t>；</w:t>
      </w:r>
    </w:p>
    <w:p>
      <w:pPr>
        <w:shd w:val="clear"/>
        <w:spacing w:line="500" w:lineRule="exact"/>
        <w:rPr>
          <w:rFonts w:hint="eastAsia" w:ascii="宋体" w:hAnsi="宋体"/>
          <w:bCs/>
          <w:color w:val="auto"/>
          <w:sz w:val="21"/>
          <w:szCs w:val="21"/>
          <w:highlight w:val="none"/>
        </w:rPr>
      </w:pPr>
      <w:r>
        <w:rPr>
          <w:rFonts w:hint="eastAsia" w:ascii="宋体" w:hAnsi="宋体"/>
          <w:bCs/>
          <w:color w:val="auto"/>
          <w:sz w:val="21"/>
          <w:szCs w:val="21"/>
          <w:highlight w:val="none"/>
        </w:rPr>
        <w:t>　　</w:t>
      </w:r>
      <w:r>
        <w:rPr>
          <w:rFonts w:hint="eastAsia" w:ascii="宋体" w:hAnsi="宋体"/>
          <w:bCs/>
          <w:color w:val="auto"/>
          <w:sz w:val="21"/>
          <w:szCs w:val="21"/>
          <w:highlight w:val="none"/>
          <w:lang w:val="en-US" w:eastAsia="zh-CN"/>
        </w:rPr>
        <w:t>2</w:t>
      </w:r>
      <w:r>
        <w:rPr>
          <w:rFonts w:hint="eastAsia" w:ascii="宋体" w:hAnsi="宋体"/>
          <w:bCs/>
          <w:color w:val="auto"/>
          <w:sz w:val="21"/>
          <w:szCs w:val="21"/>
          <w:highlight w:val="none"/>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，不再提供《中小企业声明函》，投标人出具的监狱企业证明文件如有虚假，其成交资格将被取消，并根据相关规定进行处罚。</w:t>
      </w:r>
    </w:p>
    <w:p>
      <w:pPr>
        <w:shd w:val="clear"/>
        <w:spacing w:line="500" w:lineRule="exact"/>
        <w:ind w:firstLine="420" w:firstLineChars="200"/>
        <w:rPr>
          <w:rFonts w:hint="eastAsia" w:ascii="宋体" w:hAnsi="宋体"/>
          <w:bCs/>
          <w:color w:val="auto"/>
          <w:sz w:val="21"/>
          <w:szCs w:val="21"/>
          <w:highlight w:val="none"/>
        </w:rPr>
      </w:pPr>
      <w:r>
        <w:rPr>
          <w:rFonts w:hint="eastAsia" w:ascii="宋体" w:hAnsi="宋体"/>
          <w:bCs/>
          <w:color w:val="auto"/>
          <w:sz w:val="21"/>
          <w:szCs w:val="21"/>
          <w:highlight w:val="none"/>
          <w:lang w:val="en-US" w:eastAsia="zh-CN"/>
        </w:rPr>
        <w:t>3</w:t>
      </w:r>
      <w:r>
        <w:rPr>
          <w:rFonts w:hint="eastAsia" w:ascii="宋体" w:hAnsi="宋体"/>
          <w:bCs/>
          <w:color w:val="auto"/>
          <w:sz w:val="21"/>
          <w:szCs w:val="21"/>
          <w:highlight w:val="none"/>
        </w:rPr>
        <w:t>.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p>
    <w:p>
      <w:pPr>
        <w:keepNext w:val="0"/>
        <w:keepLines w:val="0"/>
        <w:pageBreakBefore w:val="0"/>
        <w:widowControl w:val="0"/>
        <w:shd w:val="clear"/>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color w:val="auto"/>
          <w:sz w:val="21"/>
          <w:szCs w:val="21"/>
          <w:highlight w:val="none"/>
          <w:shd w:val="clear" w:color="auto" w:fill="FFFF00"/>
          <w:lang w:eastAsia="zh-CN"/>
        </w:rPr>
      </w:pPr>
      <w:r>
        <w:rPr>
          <w:rFonts w:hint="eastAsia" w:ascii="宋体" w:hAnsi="宋体" w:eastAsia="宋体"/>
          <w:b/>
          <w:bCs w:val="0"/>
          <w:color w:val="auto"/>
          <w:sz w:val="21"/>
          <w:szCs w:val="21"/>
          <w:highlight w:val="none"/>
        </w:rPr>
        <w:t>投标人同时为小型、微型企业、监狱企业、残疾人福利性单位任两种或以上情况的，评审中只享受一次价格扣除，不重复进行价格扣除。</w:t>
      </w:r>
    </w:p>
    <w:p>
      <w:pPr>
        <w:keepNext w:val="0"/>
        <w:keepLines w:val="0"/>
        <w:pageBreakBefore w:val="0"/>
        <w:widowControl w:val="0"/>
        <w:shd w:val="clear"/>
        <w:kinsoku/>
        <w:wordWrap/>
        <w:overflowPunct/>
        <w:topLinePunct w:val="0"/>
        <w:autoSpaceDE/>
        <w:autoSpaceDN/>
        <w:bidi w:val="0"/>
        <w:adjustRightInd/>
        <w:snapToGrid/>
        <w:spacing w:line="500" w:lineRule="exact"/>
        <w:ind w:firstLine="422" w:firstLineChars="200"/>
        <w:textAlignment w:val="auto"/>
        <w:rPr>
          <w:rFonts w:hint="eastAsia"/>
          <w:color w:val="auto"/>
          <w:highlight w:val="none"/>
          <w:lang w:eastAsia="zh-CN"/>
        </w:rPr>
      </w:pPr>
      <w:r>
        <w:rPr>
          <w:rFonts w:hint="eastAsia" w:ascii="宋体" w:hAnsi="宋体" w:eastAsia="宋体"/>
          <w:b/>
          <w:bCs w:val="0"/>
          <w:color w:val="auto"/>
          <w:sz w:val="21"/>
          <w:szCs w:val="21"/>
          <w:highlight w:val="none"/>
          <w:lang w:eastAsia="zh-CN"/>
        </w:rPr>
        <w:t>评标委员会根据投标人提供的《</w:t>
      </w:r>
      <w:r>
        <w:rPr>
          <w:rFonts w:hint="eastAsia" w:ascii="宋体" w:hAnsi="宋体" w:eastAsia="宋体"/>
          <w:b/>
          <w:bCs w:val="0"/>
          <w:color w:val="auto"/>
          <w:sz w:val="21"/>
          <w:szCs w:val="21"/>
          <w:highlight w:val="none"/>
        </w:rPr>
        <w:t>中小企业声明函</w:t>
      </w:r>
      <w:r>
        <w:rPr>
          <w:rFonts w:hint="eastAsia" w:ascii="宋体" w:hAnsi="宋体" w:eastAsia="宋体"/>
          <w:b/>
          <w:bCs w:val="0"/>
          <w:color w:val="auto"/>
          <w:sz w:val="21"/>
          <w:szCs w:val="21"/>
          <w:highlight w:val="none"/>
          <w:lang w:eastAsia="zh-CN"/>
        </w:rPr>
        <w:t>》认定该投标人是否属于</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，被认定为</w:t>
      </w:r>
      <w:r>
        <w:rPr>
          <w:rFonts w:hint="eastAsia" w:ascii="宋体" w:hAnsi="宋体" w:eastAsia="宋体"/>
          <w:b/>
          <w:bCs w:val="0"/>
          <w:color w:val="auto"/>
          <w:sz w:val="21"/>
          <w:szCs w:val="21"/>
          <w:highlight w:val="none"/>
        </w:rPr>
        <w:t>小型或微型企业</w:t>
      </w:r>
      <w:r>
        <w:rPr>
          <w:rFonts w:hint="eastAsia" w:ascii="宋体" w:hAnsi="宋体" w:eastAsia="宋体"/>
          <w:b/>
          <w:bCs w:val="0"/>
          <w:color w:val="auto"/>
          <w:sz w:val="21"/>
          <w:szCs w:val="21"/>
          <w:highlight w:val="none"/>
          <w:lang w:eastAsia="zh-CN"/>
        </w:rPr>
        <w:t>的方可</w:t>
      </w:r>
      <w:r>
        <w:rPr>
          <w:rFonts w:hint="eastAsia" w:ascii="宋体" w:hAnsi="宋体" w:eastAsia="宋体"/>
          <w:b/>
          <w:bCs w:val="0"/>
          <w:color w:val="auto"/>
          <w:sz w:val="21"/>
          <w:szCs w:val="21"/>
          <w:highlight w:val="none"/>
        </w:rPr>
        <w:t>享受价格优惠。</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400" w:lineRule="exact"/>
        <w:ind w:leftChars="200"/>
        <w:textAlignment w:val="auto"/>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（二）</w:t>
      </w:r>
      <w:r>
        <w:rPr>
          <w:rFonts w:hint="eastAsia" w:ascii="宋体" w:hAnsi="宋体"/>
          <w:b/>
          <w:bCs/>
          <w:color w:val="auto"/>
          <w:sz w:val="21"/>
          <w:szCs w:val="21"/>
          <w:highlight w:val="none"/>
        </w:rPr>
        <w:t>节能产品、环境标志产品</w:t>
      </w:r>
    </w:p>
    <w:p>
      <w:pPr>
        <w:keepNext w:val="0"/>
        <w:keepLines w:val="0"/>
        <w:pageBreakBefore w:val="0"/>
        <w:widowControl w:val="0"/>
        <w:shd w:val="clear"/>
        <w:kinsoku/>
        <w:wordWrap/>
        <w:overflowPunct/>
        <w:topLinePunct w:val="0"/>
        <w:autoSpaceDE/>
        <w:autoSpaceDN/>
        <w:bidi w:val="0"/>
        <w:adjustRightInd/>
        <w:snapToGrid/>
        <w:spacing w:line="400" w:lineRule="exact"/>
        <w:ind w:firstLine="420" w:firstLineChars="200"/>
        <w:textAlignment w:val="auto"/>
        <w:rPr>
          <w:rFonts w:hint="eastAsia" w:ascii="宋体" w:hAnsi="宋体"/>
          <w:bCs/>
          <w:color w:val="auto"/>
          <w:sz w:val="21"/>
          <w:szCs w:val="21"/>
          <w:highlight w:val="none"/>
        </w:rPr>
      </w:pPr>
      <w:r>
        <w:rPr>
          <w:rFonts w:hint="eastAsia" w:ascii="宋体" w:hAnsi="宋体"/>
          <w:bCs/>
          <w:color w:val="auto"/>
          <w:sz w:val="21"/>
          <w:szCs w:val="21"/>
          <w:highlight w:val="none"/>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，否则不予认定。</w:t>
      </w:r>
    </w:p>
    <w:p>
      <w:pPr>
        <w:numPr>
          <w:ilvl w:val="0"/>
          <w:numId w:val="0"/>
        </w:numPr>
        <w:shd w:val="clear"/>
        <w:spacing w:line="500" w:lineRule="exact"/>
        <w:ind w:firstLine="210" w:firstLineChars="100"/>
        <w:rPr>
          <w:rFonts w:hint="eastAsia" w:ascii="宋体" w:hAnsi="宋体"/>
          <w:b/>
          <w:bCs/>
          <w:color w:val="auto"/>
          <w:sz w:val="21"/>
          <w:szCs w:val="21"/>
          <w:highlight w:val="none"/>
        </w:rPr>
      </w:pPr>
      <w:r>
        <w:rPr>
          <w:rFonts w:hint="eastAsia" w:ascii="宋体" w:hAnsi="宋体"/>
          <w:b/>
          <w:bCs/>
          <w:color w:val="auto"/>
          <w:sz w:val="21"/>
          <w:szCs w:val="21"/>
          <w:highlight w:val="none"/>
          <w:lang w:eastAsia="zh-CN"/>
        </w:rPr>
        <w:t>（三）</w:t>
      </w:r>
      <w:r>
        <w:rPr>
          <w:rFonts w:hint="eastAsia" w:ascii="宋体" w:hAnsi="宋体"/>
          <w:b/>
          <w:bCs/>
          <w:color w:val="auto"/>
          <w:sz w:val="21"/>
          <w:szCs w:val="21"/>
          <w:highlight w:val="none"/>
        </w:rPr>
        <w:t>信息安全产品</w:t>
      </w:r>
    </w:p>
    <w:p>
      <w:pPr>
        <w:shd w:val="clear"/>
        <w:spacing w:line="500" w:lineRule="exact"/>
        <w:ind w:firstLine="424" w:firstLineChars="202"/>
        <w:rPr>
          <w:rFonts w:hint="eastAsia" w:ascii="宋体" w:hAnsi="宋体" w:cs="宋体"/>
          <w:bCs w:val="0"/>
          <w:color w:val="auto"/>
          <w:highlight w:val="none"/>
        </w:rPr>
      </w:pPr>
      <w:r>
        <w:rPr>
          <w:rFonts w:hint="eastAsia" w:ascii="宋体" w:hAnsi="宋体"/>
          <w:bCs/>
          <w:color w:val="auto"/>
          <w:sz w:val="21"/>
          <w:szCs w:val="21"/>
          <w:highlight w:val="none"/>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w:t>
      </w:r>
      <w:r>
        <w:rPr>
          <w:rFonts w:hint="eastAsia" w:ascii="宋体" w:hAnsi="宋体"/>
          <w:b/>
          <w:bCs/>
          <w:color w:val="auto"/>
          <w:sz w:val="21"/>
          <w:szCs w:val="21"/>
          <w:highlight w:val="none"/>
        </w:rPr>
        <w:t>（</w:t>
      </w:r>
      <w:r>
        <w:rPr>
          <w:rFonts w:hint="eastAsia" w:ascii="宋体" w:hAnsi="宋体"/>
          <w:b/>
          <w:bCs/>
          <w:color w:val="auto"/>
          <w:kern w:val="0"/>
          <w:sz w:val="21"/>
          <w:szCs w:val="21"/>
          <w:highlight w:val="none"/>
        </w:rPr>
        <w:t>投标文件中附扫描件</w:t>
      </w:r>
      <w:r>
        <w:rPr>
          <w:rFonts w:hint="eastAsia" w:ascii="宋体" w:hAnsi="宋体"/>
          <w:b/>
          <w:bCs/>
          <w:color w:val="auto"/>
          <w:kern w:val="0"/>
          <w:sz w:val="21"/>
          <w:szCs w:val="21"/>
          <w:highlight w:val="none"/>
          <w:lang w:eastAsia="zh-CN"/>
        </w:rPr>
        <w:t>或复印件</w:t>
      </w:r>
      <w:r>
        <w:rPr>
          <w:rFonts w:hint="eastAsia" w:ascii="宋体" w:hAnsi="宋体"/>
          <w:b/>
          <w:bCs/>
          <w:color w:val="auto"/>
          <w:sz w:val="21"/>
          <w:szCs w:val="21"/>
          <w:highlight w:val="none"/>
        </w:rPr>
        <w:t>）</w:t>
      </w:r>
      <w:r>
        <w:rPr>
          <w:rFonts w:hint="eastAsia" w:ascii="宋体" w:hAnsi="宋体"/>
          <w:bCs/>
          <w:color w:val="auto"/>
          <w:sz w:val="21"/>
          <w:szCs w:val="21"/>
          <w:highlight w:val="none"/>
        </w:rPr>
        <w:t>。</w:t>
      </w:r>
    </w:p>
    <w:p>
      <w:bookmarkStart w:id="2" w:name="_GoBack"/>
      <w:bookmarkEnd w:id="2"/>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6DAECEE8"/>
    <w:multiLevelType w:val="singleLevel"/>
    <w:tmpl w:val="6DAECEE8"/>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wNThkNzM0OTQzNzMwYTQ1YzljYjcyY2I4NzM1NTgifQ=="/>
  </w:docVars>
  <w:rsids>
    <w:rsidRoot w:val="47BA0B0D"/>
    <w:rsid w:val="39A147F1"/>
    <w:rsid w:val="47BA0B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99"/>
    <w:pPr>
      <w:ind w:firstLine="420" w:firstLineChars="200"/>
    </w:pPr>
  </w:style>
  <w:style w:type="paragraph" w:styleId="3">
    <w:name w:val="Body Text Indent"/>
    <w:basedOn w:val="1"/>
    <w:next w:val="4"/>
    <w:qFormat/>
    <w:uiPriority w:val="0"/>
    <w:pPr>
      <w:widowControl/>
      <w:spacing w:before="100" w:beforeLines="0" w:beforeAutospacing="1" w:after="100" w:afterLines="0" w:afterAutospacing="1"/>
      <w:jc w:val="left"/>
    </w:pPr>
    <w:rPr>
      <w:rFonts w:ascii="Arial Unicode MS" w:hAnsi="Arial Unicode MS" w:eastAsia="Arial Unicode MS" w:cs="Arial Unicode MS"/>
      <w:kern w:val="0"/>
      <w:sz w:val="24"/>
    </w:rPr>
  </w:style>
  <w:style w:type="paragraph" w:styleId="4">
    <w:name w:val="envelope return"/>
    <w:basedOn w:val="1"/>
    <w:qFormat/>
    <w:uiPriority w:val="0"/>
    <w:pPr>
      <w:snapToGrid w:val="0"/>
    </w:pPr>
    <w:rPr>
      <w:rFonts w:ascii="Arial" w:hAnsi="Arial"/>
    </w:rPr>
  </w:style>
  <w:style w:type="paragraph" w:styleId="5">
    <w:name w:val="Title"/>
    <w:basedOn w:val="1"/>
    <w:qFormat/>
    <w:uiPriority w:val="0"/>
    <w:pPr>
      <w:spacing w:before="240" w:beforeLines="0" w:after="60" w:afterLines="0"/>
      <w:jc w:val="center"/>
      <w:outlineLvl w:val="0"/>
    </w:pPr>
    <w:rPr>
      <w:rFonts w:ascii="Arial" w:hAnsi="Arial" w:eastAsia="宋体" w:cs="Arial"/>
      <w:b/>
      <w:bCs/>
      <w:sz w:val="32"/>
      <w:szCs w:val="32"/>
    </w:rPr>
  </w:style>
  <w:style w:type="character" w:customStyle="1" w:styleId="8">
    <w:name w:val="font61"/>
    <w:basedOn w:val="7"/>
    <w:qFormat/>
    <w:uiPriority w:val="0"/>
    <w:rPr>
      <w:rFonts w:hint="eastAsia" w:ascii="宋体" w:hAnsi="宋体" w:eastAsia="宋体" w:cs="宋体"/>
      <w:color w:val="000000"/>
      <w:sz w:val="20"/>
      <w:szCs w:val="20"/>
      <w:u w:val="none"/>
    </w:rPr>
  </w:style>
  <w:style w:type="character" w:customStyle="1" w:styleId="9">
    <w:name w:val="font31"/>
    <w:basedOn w:val="7"/>
    <w:qFormat/>
    <w:uiPriority w:val="0"/>
    <w:rPr>
      <w:rFonts w:hint="eastAsia" w:ascii="宋体" w:hAnsi="宋体" w:eastAsia="宋体" w:cs="宋体"/>
      <w:color w:val="000000"/>
      <w:sz w:val="20"/>
      <w:szCs w:val="20"/>
      <w:u w:val="none"/>
    </w:rPr>
  </w:style>
  <w:style w:type="character" w:customStyle="1" w:styleId="10">
    <w:name w:val="font01"/>
    <w:basedOn w:val="7"/>
    <w:qFormat/>
    <w:uiPriority w:val="0"/>
    <w:rPr>
      <w:rFonts w:hint="eastAsia" w:ascii="宋体" w:hAnsi="宋体" w:eastAsia="宋体" w:cs="宋体"/>
      <w:b/>
      <w:color w:val="FF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2023-09-06T06:56:00Z</dcterms:created>
  <dc:creator>琳琳0111</dc:creator>
  <cp:lastModifiedBy>琳琳0111</cp:lastModifiedBy>
  <dcterms:modified xsi:type="dcterms:W3CDTF">2023-09-06T06:56:19Z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3D61D4D0594644DD835DFF3005530179_11</vt:lpwstr>
  </property>
</Properties>
</file>